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19F34" w14:textId="10C0649F" w:rsidR="000A6953" w:rsidRPr="005B6182" w:rsidRDefault="000A6953" w:rsidP="002C321D">
      <w:pPr>
        <w:tabs>
          <w:tab w:val="left" w:pos="0"/>
        </w:tabs>
        <w:spacing w:line="276" w:lineRule="auto"/>
        <w:ind w:right="-90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6182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ՀԱՅՏԱՐԱՐՈՒԹՅՈՒՆ</w:t>
      </w:r>
    </w:p>
    <w:p w14:paraId="09B9C8F7" w14:textId="5E8EB340" w:rsidR="00A0377F" w:rsidRPr="005B6182" w:rsidRDefault="00A0377F" w:rsidP="002C321D">
      <w:pPr>
        <w:tabs>
          <w:tab w:val="left" w:pos="0"/>
        </w:tabs>
        <w:spacing w:line="276" w:lineRule="auto"/>
        <w:ind w:right="-90"/>
        <w:rPr>
          <w:rFonts w:ascii="GHEA Grapalat" w:hAnsi="GHEA Grapalat"/>
          <w:noProof/>
          <w:lang w:val="af-ZA"/>
        </w:rPr>
      </w:pPr>
      <w:r w:rsidRPr="005B6182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ՍԵՐՎԵՐ</w:t>
      </w:r>
      <w:r w:rsidR="002520B8" w:rsidRPr="005B6182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ՆԵՐԻ ՁԵՌՔԲԵՐՄԱՆ</w:t>
      </w:r>
      <w:r w:rsidRPr="005B6182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321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ՆՊԱՏԱԿՈՎ </w:t>
      </w:r>
      <w:r w:rsidRPr="005B6182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ԲԱՑ ՄՐՑՈՒՅԹԻ ԱՆՑԿԱՑՄԱՆ ՄԱՍԻՆ</w:t>
      </w:r>
    </w:p>
    <w:p w14:paraId="3A48A786" w14:textId="77777777" w:rsidR="000A6953" w:rsidRPr="005B6182" w:rsidRDefault="000A6953" w:rsidP="005B6182">
      <w:pPr>
        <w:pStyle w:val="BodyText"/>
        <w:tabs>
          <w:tab w:val="left" w:pos="0"/>
        </w:tabs>
        <w:spacing w:line="276" w:lineRule="auto"/>
        <w:ind w:left="0" w:right="105" w:firstLine="0"/>
        <w:jc w:val="both"/>
        <w:rPr>
          <w:rFonts w:ascii="GHEA Grapalat" w:eastAsia="Times New Roman" w:hAnsi="GHEA Grapalat" w:cs="Sylfaen"/>
          <w:sz w:val="22"/>
          <w:szCs w:val="22"/>
        </w:rPr>
      </w:pPr>
    </w:p>
    <w:p w14:paraId="104F9B52" w14:textId="7DA01500" w:rsidR="000A6953" w:rsidRPr="005B6182" w:rsidRDefault="000A6953" w:rsidP="005B6182">
      <w:pPr>
        <w:spacing w:line="276" w:lineRule="auto"/>
        <w:jc w:val="right"/>
        <w:rPr>
          <w:rFonts w:ascii="GHEA Grapalat" w:hAnsi="GHEA Grapalat"/>
          <w:lang w:val="pt-BR" w:eastAsia="ru-RU"/>
        </w:rPr>
      </w:pPr>
      <w:r w:rsidRPr="005B6182">
        <w:rPr>
          <w:rFonts w:ascii="GHEA Grapalat" w:hAnsi="GHEA Grapalat"/>
          <w:lang w:val="pt-BR" w:eastAsia="ru-RU"/>
        </w:rPr>
        <w:t>“</w:t>
      </w:r>
      <w:r w:rsidR="00D04EF6">
        <w:rPr>
          <w:rFonts w:ascii="GHEA Grapalat" w:hAnsi="GHEA Grapalat"/>
          <w:lang w:val="pt-BR" w:eastAsia="ru-RU"/>
        </w:rPr>
        <w:t>20</w:t>
      </w:r>
      <w:r w:rsidRPr="005B6182">
        <w:rPr>
          <w:rFonts w:ascii="GHEA Grapalat" w:hAnsi="GHEA Grapalat"/>
          <w:lang w:val="pt-BR" w:eastAsia="ru-RU"/>
        </w:rPr>
        <w:t xml:space="preserve">”-ը </w:t>
      </w:r>
      <w:r w:rsidR="00642518" w:rsidRPr="005B6182">
        <w:rPr>
          <w:rFonts w:ascii="GHEA Grapalat" w:hAnsi="GHEA Grapalat"/>
          <w:lang w:val="pt-BR" w:eastAsia="ru-RU"/>
        </w:rPr>
        <w:t>մարտի</w:t>
      </w:r>
      <w:r w:rsidRPr="005B6182">
        <w:rPr>
          <w:rFonts w:ascii="GHEA Grapalat" w:hAnsi="GHEA Grapalat"/>
          <w:lang w:val="pt-BR" w:eastAsia="ru-RU"/>
        </w:rPr>
        <w:t>, 2026 թ.</w:t>
      </w:r>
    </w:p>
    <w:p w14:paraId="590651E2" w14:textId="77777777" w:rsidR="000A6953" w:rsidRPr="005B6182" w:rsidRDefault="000A6953" w:rsidP="005B6182">
      <w:pPr>
        <w:spacing w:line="276" w:lineRule="auto"/>
        <w:ind w:firstLine="720"/>
        <w:jc w:val="both"/>
        <w:rPr>
          <w:rFonts w:ascii="GHEA Grapalat" w:hAnsi="GHEA Grapalat"/>
          <w:lang w:val="pt-BR" w:eastAsia="ru-RU"/>
        </w:rPr>
      </w:pPr>
    </w:p>
    <w:p w14:paraId="628034AC" w14:textId="41680C76" w:rsidR="000A6953" w:rsidRPr="005B6182" w:rsidRDefault="000A6953" w:rsidP="005B6182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  <w:r w:rsidRPr="005B6182">
        <w:rPr>
          <w:rFonts w:ascii="GHEA Grapalat" w:hAnsi="GHEA Grapalat"/>
          <w:lang w:val="pt-BR" w:eastAsia="ru-RU"/>
        </w:rPr>
        <w:t xml:space="preserve">«Կոնվերս Բանկ» ՓԲԸ, որը գտնվում է «ՀՀ, ք. Երևան, Վազգեն Սարգսյան 26/1» հասցեում, Բանկի </w:t>
      </w:r>
      <w:r w:rsidR="005B6182" w:rsidRPr="005B6182">
        <w:rPr>
          <w:rFonts w:ascii="GHEA Grapalat" w:hAnsi="GHEA Grapalat"/>
          <w:lang w:val="pt-BR" w:eastAsia="ru-RU"/>
        </w:rPr>
        <w:t>սերվերների</w:t>
      </w:r>
      <w:r w:rsidRPr="005B6182">
        <w:rPr>
          <w:rFonts w:ascii="GHEA Grapalat" w:hAnsi="GHEA Grapalat"/>
          <w:lang w:val="pt-BR" w:eastAsia="ru-RU"/>
        </w:rPr>
        <w:tab/>
      </w:r>
      <w:r w:rsidR="002C321D">
        <w:rPr>
          <w:rFonts w:ascii="GHEA Grapalat" w:hAnsi="GHEA Grapalat"/>
          <w:lang w:val="pt-BR" w:eastAsia="ru-RU"/>
        </w:rPr>
        <w:t>ձեռքբերման նպատակով`</w:t>
      </w:r>
      <w:r w:rsidRPr="005B6182">
        <w:rPr>
          <w:rFonts w:ascii="GHEA Grapalat" w:hAnsi="GHEA Grapalat"/>
          <w:lang w:val="pt-BR" w:eastAsia="ru-RU"/>
        </w:rPr>
        <w:t xml:space="preserve"> մատակարար ընտրելու համար հայտարարում է բաց ընթացակարգով մրցույթ /այսուհետ՝ Մրցույթ/:</w:t>
      </w:r>
    </w:p>
    <w:p w14:paraId="6B71A810" w14:textId="77777777" w:rsidR="000A6953" w:rsidRPr="005B6182" w:rsidRDefault="000A6953" w:rsidP="005B6182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</w:p>
    <w:p w14:paraId="02495824" w14:textId="231C2786" w:rsidR="000A6953" w:rsidRPr="005B6182" w:rsidRDefault="000A6953" w:rsidP="005B6182">
      <w:pPr>
        <w:tabs>
          <w:tab w:val="left" w:pos="36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  <w:r w:rsidRPr="005B6182">
        <w:rPr>
          <w:rFonts w:ascii="GHEA Grapalat" w:hAnsi="GHEA Grapalat"/>
          <w:lang w:val="hy-AM" w:eastAsia="ru-RU"/>
        </w:rPr>
        <w:t xml:space="preserve"> </w:t>
      </w:r>
      <w:r w:rsidRPr="005B6182">
        <w:rPr>
          <w:rFonts w:ascii="GHEA Grapalat" w:hAnsi="GHEA Grapalat"/>
          <w:lang w:val="pt-BR" w:eastAsia="ru-RU"/>
        </w:rPr>
        <w:t xml:space="preserve">Մրցութային առաջարկները անհրաժեշտ է </w:t>
      </w:r>
      <w:r w:rsidRPr="005B6182">
        <w:rPr>
          <w:rFonts w:ascii="GHEA Grapalat" w:hAnsi="GHEA Grapalat"/>
          <w:lang w:val="hy-AM" w:eastAsia="ru-RU"/>
        </w:rPr>
        <w:t xml:space="preserve">լրացնել սույն հայտարարությանը կցված </w:t>
      </w:r>
      <w:r w:rsidRPr="005B6182">
        <w:rPr>
          <w:rFonts w:ascii="GHEA Grapalat" w:hAnsi="GHEA Grapalat"/>
          <w:lang w:val="pt-BR" w:eastAsia="ru-RU"/>
        </w:rPr>
        <w:t xml:space="preserve">հավելված 1-ի համաձայն </w:t>
      </w:r>
      <w:r w:rsidRPr="005B6182">
        <w:rPr>
          <w:rFonts w:ascii="GHEA Grapalat" w:hAnsi="GHEA Grapalat"/>
          <w:lang w:val="hy-AM" w:eastAsia="ru-RU"/>
        </w:rPr>
        <w:t xml:space="preserve">և ուղարկել դրանք </w:t>
      </w:r>
      <w:r w:rsidRPr="005B6182">
        <w:rPr>
          <w:rFonts w:ascii="GHEA Grapalat" w:hAnsi="GHEA Grapalat"/>
          <w:lang w:val="pt-BR" w:eastAsia="ru-RU"/>
        </w:rPr>
        <w:t xml:space="preserve">«Կոնվերս Բանկ» ՓԲԸ-ի պաշտոնական էլեկտրոնային հասցեին` </w:t>
      </w:r>
      <w:hyperlink r:id="rId7" w:history="1">
        <w:r w:rsidRPr="005B6182">
          <w:rPr>
            <w:rStyle w:val="Hyperlink"/>
            <w:rFonts w:ascii="GHEA Grapalat" w:hAnsi="GHEA Grapalat" w:cs="Arial AMU"/>
            <w:color w:val="002369"/>
            <w:bdr w:val="none" w:sz="0" w:space="0" w:color="auto" w:frame="1"/>
            <w:lang w:val="pt-BR"/>
          </w:rPr>
          <w:t>conversebank@conversebank.am</w:t>
        </w:r>
      </w:hyperlink>
      <w:r w:rsidRPr="005B6182">
        <w:rPr>
          <w:rFonts w:ascii="GHEA Grapalat" w:hAnsi="GHEA Grapalat"/>
          <w:lang w:val="hy-AM" w:eastAsia="ru-RU"/>
        </w:rPr>
        <w:t xml:space="preserve">, </w:t>
      </w:r>
      <w:r w:rsidRPr="005B6182">
        <w:rPr>
          <w:rFonts w:ascii="GHEA Grapalat" w:hAnsi="GHEA Grapalat"/>
          <w:lang w:val="pt-BR" w:eastAsia="ru-RU"/>
        </w:rPr>
        <w:t xml:space="preserve">էլ. </w:t>
      </w:r>
      <w:r w:rsidRPr="005B6182">
        <w:rPr>
          <w:rFonts w:ascii="GHEA Grapalat" w:hAnsi="GHEA Grapalat"/>
          <w:lang w:val="hy-AM" w:eastAsia="ru-RU"/>
        </w:rPr>
        <w:t xml:space="preserve">նամակի </w:t>
      </w:r>
      <w:r w:rsidRPr="005B6182">
        <w:rPr>
          <w:rFonts w:ascii="GHEA Grapalat" w:hAnsi="GHEA Grapalat"/>
          <w:lang w:val="pt-BR" w:eastAsia="ru-RU"/>
        </w:rPr>
        <w:t>«</w:t>
      </w:r>
      <w:r w:rsidRPr="005B6182">
        <w:rPr>
          <w:rFonts w:ascii="GHEA Grapalat" w:hAnsi="GHEA Grapalat"/>
          <w:lang w:val="hy-AM" w:eastAsia="ru-RU"/>
        </w:rPr>
        <w:t>առարկա</w:t>
      </w:r>
      <w:r w:rsidRPr="005B6182">
        <w:rPr>
          <w:rFonts w:ascii="GHEA Grapalat" w:hAnsi="GHEA Grapalat"/>
          <w:lang w:val="pt-BR" w:eastAsia="ru-RU"/>
        </w:rPr>
        <w:t>»</w:t>
      </w:r>
      <w:r w:rsidRPr="005B6182">
        <w:rPr>
          <w:rFonts w:ascii="GHEA Grapalat" w:hAnsi="GHEA Grapalat"/>
          <w:lang w:val="hy-AM" w:eastAsia="ru-RU"/>
        </w:rPr>
        <w:t xml:space="preserve"> </w:t>
      </w:r>
      <w:r w:rsidRPr="005B6182">
        <w:rPr>
          <w:rFonts w:ascii="GHEA Grapalat" w:hAnsi="GHEA Grapalat"/>
          <w:lang w:val="pt-BR" w:eastAsia="ru-RU"/>
        </w:rPr>
        <w:t>(subject) դաշտում պարտադիր նշելով մրցույթի անվանումը</w:t>
      </w:r>
      <w:r w:rsidR="002C321D">
        <w:rPr>
          <w:rFonts w:ascii="GHEA Grapalat" w:hAnsi="GHEA Grapalat"/>
          <w:lang w:val="pt-BR" w:eastAsia="ru-RU"/>
        </w:rPr>
        <w:t xml:space="preserve">՝ /Բանկի սերվերների ձեռքբերման համար առաջարկ՝  </w:t>
      </w:r>
      <w:r w:rsidR="005A4C1B" w:rsidRPr="005B6182">
        <w:rPr>
          <w:rFonts w:ascii="GHEA Grapalat" w:hAnsi="GHEA Grapalat"/>
          <w:lang w:val="pt-BR" w:eastAsia="ru-RU"/>
        </w:rPr>
        <w:t xml:space="preserve"> </w:t>
      </w:r>
      <w:r w:rsidRPr="005B6182">
        <w:rPr>
          <w:rFonts w:ascii="GHEA Grapalat" w:hAnsi="GHEA Grapalat"/>
          <w:lang w:val="pt-BR" w:eastAsia="ru-RU"/>
        </w:rPr>
        <w:t>թիվ /</w:t>
      </w:r>
      <w:r w:rsidR="00D04EF6">
        <w:rPr>
          <w:rFonts w:ascii="GHEA Grapalat" w:hAnsi="GHEA Grapalat"/>
          <w:lang w:val="pt-BR" w:eastAsia="ru-RU"/>
        </w:rPr>
        <w:t>20</w:t>
      </w:r>
      <w:bookmarkStart w:id="1" w:name="_GoBack"/>
      <w:bookmarkEnd w:id="1"/>
      <w:r w:rsidRPr="005B6182">
        <w:rPr>
          <w:rFonts w:ascii="GHEA Grapalat" w:hAnsi="GHEA Grapalat"/>
          <w:lang w:val="pt-BR" w:eastAsia="ru-RU"/>
        </w:rPr>
        <w:t>.</w:t>
      </w:r>
      <w:r w:rsidR="005A4C1B" w:rsidRPr="005B6182">
        <w:rPr>
          <w:rFonts w:ascii="GHEA Grapalat" w:hAnsi="GHEA Grapalat"/>
          <w:lang w:val="pt-BR" w:eastAsia="ru-RU"/>
        </w:rPr>
        <w:t>0</w:t>
      </w:r>
      <w:r w:rsidR="00240E97" w:rsidRPr="005B6182">
        <w:rPr>
          <w:rFonts w:ascii="GHEA Grapalat" w:hAnsi="GHEA Grapalat"/>
          <w:lang w:val="pt-BR" w:eastAsia="ru-RU"/>
        </w:rPr>
        <w:t>3</w:t>
      </w:r>
      <w:r w:rsidRPr="005B6182">
        <w:rPr>
          <w:rFonts w:ascii="GHEA Grapalat" w:hAnsi="GHEA Grapalat"/>
          <w:lang w:val="pt-BR" w:eastAsia="ru-RU"/>
        </w:rPr>
        <w:t>.2026/</w:t>
      </w:r>
    </w:p>
    <w:p w14:paraId="52C706F6" w14:textId="77777777" w:rsidR="000A6953" w:rsidRPr="005B6182" w:rsidRDefault="000A6953" w:rsidP="005B6182">
      <w:pPr>
        <w:spacing w:line="276" w:lineRule="auto"/>
        <w:ind w:left="90" w:firstLine="450"/>
        <w:jc w:val="both"/>
        <w:rPr>
          <w:rFonts w:ascii="GHEA Grapalat" w:hAnsi="GHEA Grapalat"/>
          <w:lang w:val="pt-BR" w:eastAsia="ru-RU"/>
        </w:rPr>
      </w:pPr>
    </w:p>
    <w:p w14:paraId="3862F9D1" w14:textId="77777777" w:rsidR="000A6953" w:rsidRPr="005B6182" w:rsidRDefault="000A6953" w:rsidP="005B6182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proofErr w:type="spellStart"/>
      <w:r w:rsidRPr="005B6182">
        <w:rPr>
          <w:rFonts w:ascii="GHEA Grapalat" w:eastAsia="GHEA Grapalat" w:hAnsi="GHEA Grapalat" w:cs="GHEA Grapalat"/>
        </w:rPr>
        <w:t>Մրցութային</w:t>
      </w:r>
      <w:proofErr w:type="spellEnd"/>
      <w:r w:rsidRPr="005B6182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5B6182">
        <w:rPr>
          <w:rFonts w:ascii="GHEA Grapalat" w:eastAsia="GHEA Grapalat" w:hAnsi="GHEA Grapalat" w:cs="GHEA Grapalat"/>
        </w:rPr>
        <w:t>առաջարկի</w:t>
      </w:r>
      <w:proofErr w:type="spellEnd"/>
      <w:r w:rsidRPr="005B6182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5B6182">
        <w:rPr>
          <w:rFonts w:ascii="GHEA Grapalat" w:eastAsia="GHEA Grapalat" w:hAnsi="GHEA Grapalat" w:cs="GHEA Grapalat"/>
        </w:rPr>
        <w:t>մեջ</w:t>
      </w:r>
      <w:proofErr w:type="spellEnd"/>
      <w:r w:rsidRPr="005B6182">
        <w:rPr>
          <w:rFonts w:ascii="GHEA Grapalat" w:hAnsi="GHEA Grapalat"/>
          <w:lang w:val="pt-BR" w:eastAsia="ru-RU"/>
        </w:rPr>
        <w:t xml:space="preserve"> կատարվում են հետևյալ գրառումները.</w:t>
      </w:r>
    </w:p>
    <w:p w14:paraId="4816875D" w14:textId="77777777" w:rsidR="000A6953" w:rsidRPr="005B6182" w:rsidRDefault="000A6953" w:rsidP="005B6182">
      <w:pPr>
        <w:widowControl/>
        <w:numPr>
          <w:ilvl w:val="0"/>
          <w:numId w:val="5"/>
        </w:numPr>
        <w:tabs>
          <w:tab w:val="clear" w:pos="720"/>
          <w:tab w:val="num" w:pos="450"/>
        </w:tabs>
        <w:spacing w:line="276" w:lineRule="auto"/>
        <w:ind w:left="540" w:hanging="450"/>
        <w:jc w:val="both"/>
        <w:textAlignment w:val="baseline"/>
        <w:rPr>
          <w:rFonts w:ascii="GHEA Grapalat" w:hAnsi="GHEA Grapalat"/>
          <w:lang w:val="pt-BR" w:eastAsia="ru-RU"/>
        </w:rPr>
      </w:pPr>
      <w:r w:rsidRPr="005B6182">
        <w:rPr>
          <w:rFonts w:ascii="GHEA Grapalat" w:hAnsi="GHEA Grapalat"/>
          <w:lang w:val="pt-BR" w:eastAsia="ru-RU"/>
        </w:rPr>
        <w:t xml:space="preserve">«Կոնվերս Բանկ» ՓԲԸ </w:t>
      </w:r>
    </w:p>
    <w:p w14:paraId="2353DCB8" w14:textId="52658208" w:rsidR="000A6953" w:rsidRPr="005B6182" w:rsidRDefault="000A6953" w:rsidP="005B6182">
      <w:pPr>
        <w:widowControl/>
        <w:numPr>
          <w:ilvl w:val="0"/>
          <w:numId w:val="5"/>
        </w:numPr>
        <w:tabs>
          <w:tab w:val="clear" w:pos="720"/>
          <w:tab w:val="num" w:pos="450"/>
        </w:tabs>
        <w:spacing w:line="276" w:lineRule="auto"/>
        <w:ind w:left="540" w:hanging="450"/>
        <w:jc w:val="both"/>
        <w:textAlignment w:val="baseline"/>
        <w:rPr>
          <w:rFonts w:ascii="GHEA Grapalat" w:hAnsi="GHEA Grapalat"/>
          <w:lang w:val="pt-BR" w:eastAsia="ru-RU"/>
        </w:rPr>
      </w:pPr>
      <w:r w:rsidRPr="005B6182">
        <w:rPr>
          <w:rFonts w:ascii="GHEA Grapalat" w:hAnsi="GHEA Grapalat"/>
          <w:lang w:val="pt-BR" w:eastAsia="ru-RU"/>
        </w:rPr>
        <w:t xml:space="preserve">«Կոնվերս Բանկ» </w:t>
      </w:r>
      <w:r w:rsidR="005B6182" w:rsidRPr="005B6182">
        <w:rPr>
          <w:rFonts w:ascii="GHEA Grapalat" w:hAnsi="GHEA Grapalat"/>
          <w:lang w:val="pt-BR" w:eastAsia="ru-RU"/>
        </w:rPr>
        <w:t xml:space="preserve">սերվերների </w:t>
      </w:r>
      <w:r w:rsidR="002C321D">
        <w:rPr>
          <w:rFonts w:ascii="GHEA Grapalat" w:hAnsi="GHEA Grapalat"/>
          <w:lang w:val="pt-BR" w:eastAsia="ru-RU"/>
        </w:rPr>
        <w:t xml:space="preserve">ձեռքբերման </w:t>
      </w:r>
      <w:r w:rsidRPr="005B6182">
        <w:rPr>
          <w:rFonts w:ascii="GHEA Grapalat" w:hAnsi="GHEA Grapalat"/>
          <w:lang w:val="pt-BR" w:eastAsia="ru-RU"/>
        </w:rPr>
        <w:t>մրցութային հայտ,</w:t>
      </w:r>
    </w:p>
    <w:p w14:paraId="634741D4" w14:textId="77777777" w:rsidR="000A6953" w:rsidRPr="005B6182" w:rsidRDefault="000A6953" w:rsidP="005B6182">
      <w:pPr>
        <w:widowControl/>
        <w:numPr>
          <w:ilvl w:val="0"/>
          <w:numId w:val="5"/>
        </w:numPr>
        <w:tabs>
          <w:tab w:val="clear" w:pos="720"/>
          <w:tab w:val="num" w:pos="450"/>
        </w:tabs>
        <w:spacing w:before="240" w:after="240"/>
        <w:ind w:left="540" w:hanging="450"/>
        <w:jc w:val="both"/>
        <w:textAlignment w:val="baseline"/>
        <w:rPr>
          <w:rFonts w:ascii="GHEA Grapalat" w:hAnsi="GHEA Grapalat"/>
          <w:lang w:val="pt-BR" w:eastAsia="ru-RU"/>
        </w:rPr>
      </w:pPr>
      <w:r w:rsidRPr="005B6182">
        <w:rPr>
          <w:rFonts w:ascii="GHEA Grapalat" w:hAnsi="GHEA Grapalat"/>
          <w:lang w:val="pt-BR" w:eastAsia="ru-RU"/>
        </w:rPr>
        <w:t>Կազմակերպության անվանումը, ՀՎՀՀ-ն, հասցեն, հեռախոսահամարը, էլեկտրոնային փոստի հասցեն, ինտերնետային կայքի հասցեն (առկայության դեպքում):</w:t>
      </w:r>
    </w:p>
    <w:p w14:paraId="28FF38A0" w14:textId="3A85713E" w:rsidR="000A6953" w:rsidRPr="005B6182" w:rsidRDefault="000A6953" w:rsidP="005B6182">
      <w:pPr>
        <w:spacing w:before="240" w:after="240"/>
        <w:jc w:val="both"/>
        <w:textAlignment w:val="baseline"/>
        <w:rPr>
          <w:rFonts w:ascii="GHEA Grapalat" w:hAnsi="GHEA Grapalat"/>
          <w:lang w:val="pt-BR" w:eastAsia="ru-RU"/>
        </w:rPr>
      </w:pPr>
      <w:r w:rsidRPr="005B6182">
        <w:rPr>
          <w:rFonts w:ascii="GHEA Grapalat" w:hAnsi="GHEA Grapalat"/>
          <w:lang w:val="pt-BR" w:eastAsia="ru-RU"/>
        </w:rPr>
        <w:t xml:space="preserve">Մրցութային հայտերի ընդունման վերջնաժամկետն է` </w:t>
      </w:r>
      <w:r w:rsidR="00240E97" w:rsidRPr="005B6182">
        <w:rPr>
          <w:rFonts w:ascii="GHEA Grapalat" w:hAnsi="GHEA Grapalat"/>
          <w:lang w:val="pt-BR" w:eastAsia="ru-RU"/>
        </w:rPr>
        <w:t>2</w:t>
      </w:r>
      <w:r w:rsidR="008F1AE6">
        <w:rPr>
          <w:rFonts w:ascii="GHEA Grapalat" w:hAnsi="GHEA Grapalat"/>
          <w:lang w:val="pt-BR" w:eastAsia="ru-RU"/>
        </w:rPr>
        <w:t>7</w:t>
      </w:r>
      <w:r w:rsidRPr="005B6182">
        <w:rPr>
          <w:rFonts w:ascii="GHEA Grapalat" w:hAnsi="GHEA Grapalat"/>
          <w:lang w:val="pt-BR" w:eastAsia="ru-RU"/>
        </w:rPr>
        <w:t>.0</w:t>
      </w:r>
      <w:r w:rsidR="005A4C1B" w:rsidRPr="005B6182">
        <w:rPr>
          <w:rFonts w:ascii="GHEA Grapalat" w:hAnsi="GHEA Grapalat"/>
          <w:lang w:val="pt-BR" w:eastAsia="ru-RU"/>
        </w:rPr>
        <w:t>3</w:t>
      </w:r>
      <w:r w:rsidRPr="005B6182">
        <w:rPr>
          <w:rFonts w:ascii="GHEA Grapalat" w:hAnsi="GHEA Grapalat"/>
          <w:lang w:val="pt-BR" w:eastAsia="ru-RU"/>
        </w:rPr>
        <w:t>.2026թ.-ը` ժամը 18:00-ն:</w:t>
      </w:r>
    </w:p>
    <w:p w14:paraId="622C212C" w14:textId="77777777" w:rsidR="000A6953" w:rsidRPr="005B6182" w:rsidRDefault="000A6953" w:rsidP="005B6182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1FA5DC8E" w14:textId="075DBB8B" w:rsidR="000A6953" w:rsidRPr="005B6182" w:rsidRDefault="000A6953" w:rsidP="005B6182">
      <w:pPr>
        <w:tabs>
          <w:tab w:val="left" w:pos="0"/>
        </w:tabs>
        <w:spacing w:line="276" w:lineRule="auto"/>
        <w:ind w:right="-90"/>
        <w:jc w:val="center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6182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Ընդհանուր պայմաններ</w:t>
      </w:r>
    </w:p>
    <w:p w14:paraId="390AF23A" w14:textId="77777777" w:rsidR="000A6953" w:rsidRPr="005B6182" w:rsidRDefault="000A6953" w:rsidP="005B6182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5B6182">
        <w:rPr>
          <w:rFonts w:ascii="GHEA Grapalat" w:hAnsi="GHEA Grapalat"/>
          <w:sz w:val="22"/>
          <w:szCs w:val="22"/>
          <w:lang w:val="pt-BR" w:eastAsia="ru-RU"/>
        </w:rPr>
        <w:t>Գնային առաջարկները պետք է ներկայացվեն` արտահայտված ՀՀ դրամով՝ ներառյալ ՀՀ օրենսդրությամբ նախատեսված հարկերը և այլ վճարները:</w:t>
      </w:r>
    </w:p>
    <w:p w14:paraId="73FB6F36" w14:textId="77777777" w:rsidR="000A6953" w:rsidRPr="005B6182" w:rsidRDefault="000A6953" w:rsidP="005B6182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5B6182">
        <w:rPr>
          <w:rFonts w:ascii="GHEA Grapalat" w:hAnsi="GHEA Grapalat"/>
          <w:sz w:val="22"/>
          <w:szCs w:val="22"/>
          <w:lang w:val="pt-BR" w:eastAsia="ru-RU"/>
        </w:rPr>
        <w:t>Առաջարկում՝ հայտից բացի, պետք է ներառել պայմանագրի կնքման համար անհրաժեշտ այլ տեղեկություններ և/կամ փաստաթղթեր, երաշխավորագրեր և այլն:</w:t>
      </w:r>
    </w:p>
    <w:p w14:paraId="0FE66A26" w14:textId="6FF0204A" w:rsidR="000A6953" w:rsidRPr="005B6182" w:rsidRDefault="000A6953" w:rsidP="005B6182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5B6182">
        <w:rPr>
          <w:rFonts w:ascii="GHEA Grapalat" w:hAnsi="GHEA Grapalat"/>
          <w:sz w:val="22"/>
          <w:szCs w:val="22"/>
          <w:lang w:val="pt-BR" w:eastAsia="ru-RU"/>
        </w:rPr>
        <w:t>Հայտերը պետք է կազմված լինեն հայերեն լեզվ</w:t>
      </w:r>
      <w:r w:rsidRPr="005B6182">
        <w:rPr>
          <w:rFonts w:ascii="GHEA Grapalat" w:hAnsi="GHEA Grapalat"/>
          <w:sz w:val="22"/>
          <w:szCs w:val="22"/>
          <w:lang w:val="ru-RU" w:eastAsia="ru-RU"/>
        </w:rPr>
        <w:t>ով</w:t>
      </w:r>
      <w:r w:rsidRPr="005B6182">
        <w:rPr>
          <w:rFonts w:ascii="GHEA Grapalat" w:hAnsi="GHEA Grapalat"/>
          <w:sz w:val="22"/>
          <w:szCs w:val="22"/>
          <w:lang w:val="pt-BR" w:eastAsia="ru-RU"/>
        </w:rPr>
        <w:t>:</w:t>
      </w:r>
    </w:p>
    <w:p w14:paraId="0D9DC432" w14:textId="77777777" w:rsidR="002520B8" w:rsidRPr="005B6182" w:rsidRDefault="002520B8" w:rsidP="005B6182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5B6182">
        <w:rPr>
          <w:rFonts w:ascii="GHEA Grapalat" w:hAnsi="GHEA Grapalat"/>
          <w:sz w:val="22"/>
          <w:szCs w:val="22"/>
          <w:lang w:val="pt-BR" w:eastAsia="ru-RU"/>
        </w:rPr>
        <w:t>Մրցույթին կարելի է մասնակցել ինչպես բոլոր Լոտերով, այնպես էլ Լոտերից որևէ մեկով:</w:t>
      </w:r>
    </w:p>
    <w:p w14:paraId="5AD57C7B" w14:textId="77777777" w:rsidR="000A6953" w:rsidRPr="005B6182" w:rsidRDefault="000A6953" w:rsidP="005B6182">
      <w:pPr>
        <w:pStyle w:val="BodyTextIndent"/>
        <w:spacing w:line="276" w:lineRule="auto"/>
        <w:ind w:firstLine="630"/>
        <w:rPr>
          <w:rFonts w:ascii="GHEA Grapalat" w:eastAsia="GHEA Grapalat" w:hAnsi="GHEA Grapalat" w:cs="GHEA Grapalat"/>
          <w:sz w:val="22"/>
          <w:szCs w:val="22"/>
        </w:rPr>
      </w:pPr>
      <w:r w:rsidRPr="005B6182">
        <w:rPr>
          <w:rFonts w:ascii="GHEA Grapalat" w:eastAsia="GHEA Grapalat" w:hAnsi="GHEA Grapalat" w:cs="GHEA Grapalat"/>
          <w:sz w:val="22"/>
          <w:szCs w:val="22"/>
        </w:rPr>
        <w:t>Հանձնաժողովի կողմից նախնական որակավորում ստացած մասնակիցները էլեկտրոնային փոստի միջոցով կտեղեկացվեն Մրցույթի վերջնական փուլին իրենց մասնակցության վերաբերյալ:</w:t>
      </w:r>
    </w:p>
    <w:p w14:paraId="4B1563A8" w14:textId="6436A643" w:rsidR="000A6953" w:rsidRPr="005B6182" w:rsidRDefault="000A6953" w:rsidP="005B6182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5B6182">
        <w:rPr>
          <w:rFonts w:ascii="GHEA Grapalat" w:hAnsi="GHEA Grapalat"/>
          <w:sz w:val="22"/>
          <w:szCs w:val="22"/>
          <w:lang w:val="pt-BR" w:eastAsia="ru-RU"/>
        </w:rPr>
        <w:t>Հաղթող կճանաչվի Մրցութային հանձնաժողովի կողմից վերջնական որակավորում ստացած այն մասնակիցը, որը սույն Հայտարարությամբ սահմանված պահանջների շրջանակներում ներկայացնում է ամենացածր գինը, իսկ եթե ներկայացվեն հավասար գնառաջարկներ կամ գնառաջարկների միջև տարբերությունը լինի մինչև 3 /երեք/ տոկոս, ապա հաղթող կարող է ճանաչվել որակական ավելի բարձր գնահատական ստացած մասնակիցը:</w:t>
      </w:r>
    </w:p>
    <w:p w14:paraId="0E9D103B" w14:textId="77777777" w:rsidR="000A6953" w:rsidRPr="005B6182" w:rsidRDefault="000A6953" w:rsidP="005B6182">
      <w:pPr>
        <w:pStyle w:val="BodyTextIndent"/>
        <w:spacing w:line="276" w:lineRule="auto"/>
        <w:ind w:firstLine="708"/>
        <w:rPr>
          <w:rFonts w:ascii="GHEA Grapalat" w:hAnsi="GHEA Grapalat"/>
          <w:i/>
          <w:sz w:val="22"/>
          <w:szCs w:val="22"/>
          <w:lang w:val="pt-BR" w:eastAsia="ru-RU"/>
        </w:rPr>
      </w:pPr>
    </w:p>
    <w:tbl>
      <w:tblPr>
        <w:tblStyle w:val="TableGrid"/>
        <w:tblW w:w="10132" w:type="dxa"/>
        <w:tblLook w:val="04A0" w:firstRow="1" w:lastRow="0" w:firstColumn="1" w:lastColumn="0" w:noHBand="0" w:noVBand="1"/>
      </w:tblPr>
      <w:tblGrid>
        <w:gridCol w:w="10132"/>
      </w:tblGrid>
      <w:tr w:rsidR="002520B8" w:rsidRPr="005B6182" w14:paraId="0449DB2E" w14:textId="77777777" w:rsidTr="005B6182">
        <w:trPr>
          <w:trHeight w:val="165"/>
        </w:trPr>
        <w:tc>
          <w:tcPr>
            <w:tcW w:w="10132" w:type="dxa"/>
            <w:vAlign w:val="center"/>
          </w:tcPr>
          <w:p w14:paraId="4A62C66E" w14:textId="1A3BAE34" w:rsidR="002520B8" w:rsidRPr="005B6182" w:rsidRDefault="002520B8" w:rsidP="005B6182">
            <w:pPr>
              <w:pStyle w:val="BodyTextIndent"/>
              <w:spacing w:line="276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B6182">
              <w:rPr>
                <w:rFonts w:ascii="GHEA Grapalat" w:hAnsi="GHEA Grapalat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Նվազագույն չափանիշներ ու պահանջներ</w:t>
            </w:r>
          </w:p>
        </w:tc>
      </w:tr>
      <w:tr w:rsidR="002520B8" w:rsidRPr="005B6182" w14:paraId="23F2682A" w14:textId="77777777" w:rsidTr="005B6182">
        <w:tc>
          <w:tcPr>
            <w:tcW w:w="10132" w:type="dxa"/>
          </w:tcPr>
          <w:p w14:paraId="5B5B3618" w14:textId="7E96C8D1" w:rsidR="002520B8" w:rsidRPr="005B6182" w:rsidRDefault="002520B8" w:rsidP="005B6182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5B6182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Գին </w:t>
            </w:r>
          </w:p>
        </w:tc>
      </w:tr>
      <w:tr w:rsidR="002520B8" w:rsidRPr="005B6182" w14:paraId="0B23E8DE" w14:textId="77777777" w:rsidTr="005B6182">
        <w:tc>
          <w:tcPr>
            <w:tcW w:w="10132" w:type="dxa"/>
          </w:tcPr>
          <w:p w14:paraId="3EC1F5C2" w14:textId="79A30883" w:rsidR="002520B8" w:rsidRPr="005B6182" w:rsidRDefault="002520B8" w:rsidP="005B6182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5B6182">
              <w:rPr>
                <w:rFonts w:ascii="GHEA Grapalat" w:hAnsi="GHEA Grapalat"/>
                <w:sz w:val="22"/>
                <w:szCs w:val="22"/>
                <w:lang w:val="pt-BR" w:eastAsia="ru-RU"/>
              </w:rPr>
              <w:t>Մատակարարման ժամկետ</w:t>
            </w:r>
          </w:p>
        </w:tc>
      </w:tr>
      <w:tr w:rsidR="002520B8" w:rsidRPr="005B6182" w14:paraId="29698224" w14:textId="77777777" w:rsidTr="005B6182">
        <w:tc>
          <w:tcPr>
            <w:tcW w:w="10132" w:type="dxa"/>
          </w:tcPr>
          <w:p w14:paraId="72ABEEF2" w14:textId="7E8A7CE7" w:rsidR="002520B8" w:rsidRPr="005B6182" w:rsidRDefault="002520B8" w:rsidP="005B6182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5B6182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Երաշխիքի տրամադրման ժամկետ </w:t>
            </w:r>
          </w:p>
        </w:tc>
      </w:tr>
    </w:tbl>
    <w:p w14:paraId="4FB2630A" w14:textId="77777777" w:rsidR="000A6953" w:rsidRPr="005B6182" w:rsidRDefault="000A6953" w:rsidP="005B6182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44444C"/>
          <w:lang w:val="pt-BR"/>
        </w:rPr>
      </w:pPr>
    </w:p>
    <w:p w14:paraId="098E46CF" w14:textId="77777777" w:rsidR="000A6953" w:rsidRPr="005B6182" w:rsidRDefault="000A6953" w:rsidP="005B6182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5B6182">
        <w:rPr>
          <w:rFonts w:ascii="GHEA Grapalat" w:hAnsi="GHEA Grapalat"/>
          <w:color w:val="44444C"/>
          <w:lang w:val="pt-BR"/>
        </w:rPr>
        <w:t>«</w:t>
      </w:r>
      <w:r w:rsidRPr="005B6182">
        <w:rPr>
          <w:rFonts w:ascii="GHEA Grapalat" w:hAnsi="GHEA Grapalat"/>
          <w:lang w:val="pt-BR" w:eastAsia="ru-RU"/>
        </w:rPr>
        <w:t>Կոնվերս Բանկ» ՓԲԸ-ն մրցույթի հաղթողի հետ կնքում է համապատասխան պայմանագիր: Մրցույթում հաղթող կազմակերպությանը վճարումները կիրականացվեն անկանխիկ (փոխանցումով)՝ Մասնակիցների՝ «Կոնվերս Բանկ» ՓԲԸ-ում գործող բանկային հաշիվների միջոցով:</w:t>
      </w:r>
    </w:p>
    <w:p w14:paraId="323F3450" w14:textId="77777777" w:rsidR="000A6953" w:rsidRPr="005B6182" w:rsidRDefault="000A6953" w:rsidP="005B6182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5B6182">
        <w:rPr>
          <w:rFonts w:ascii="GHEA Grapalat" w:hAnsi="GHEA Grapalat"/>
          <w:lang w:val="pt-BR" w:eastAsia="ru-RU"/>
        </w:rPr>
        <w:t xml:space="preserve">Հաղթող ճանաչված մասնակիցը կարող է հրաժարվել պայմանագրի կնքումից նախագիծը ստանալուց հետո 3 /երեք/ աշխատանքային օրվա ընթացքում: Ժամկետի խախտմամբ պայմանագրի կնքումից հրաժարվելու դեպքում հաղթող ճանաչված մասնակիցը պարտավորվում է վճարել տուգանք </w:t>
      </w:r>
      <w:r w:rsidRPr="005B6182">
        <w:rPr>
          <w:rFonts w:ascii="GHEA Grapalat" w:hAnsi="GHEA Grapalat"/>
          <w:color w:val="44444C"/>
          <w:lang w:val="pt-BR"/>
        </w:rPr>
        <w:t>«</w:t>
      </w:r>
      <w:r w:rsidRPr="005B6182">
        <w:rPr>
          <w:rFonts w:ascii="GHEA Grapalat" w:hAnsi="GHEA Grapalat"/>
          <w:lang w:val="pt-BR" w:eastAsia="ru-RU"/>
        </w:rPr>
        <w:t>Կոնվերս Բանկ» ՓԲԸ-ին՝ ներկայացված գնառաջարկի 1.5 /մեկ ամբողջ հինգ տասնորդական/ տոկոսի չափով:</w:t>
      </w:r>
    </w:p>
    <w:p w14:paraId="3DC6B4FC" w14:textId="77777777" w:rsidR="000A6953" w:rsidRPr="005B6182" w:rsidRDefault="000A6953" w:rsidP="005B6182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5B6182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էական պայման</w:t>
      </w:r>
      <w:r w:rsidRPr="005B6182">
        <w:rPr>
          <w:rFonts w:ascii="GHEA Grapalat" w:hAnsi="GHEA Grapalat"/>
          <w:b/>
          <w:lang w:val="pt-BR" w:eastAsia="ru-RU"/>
        </w:rPr>
        <w:t>՝</w:t>
      </w:r>
      <w:r w:rsidRPr="005B6182">
        <w:rPr>
          <w:rFonts w:ascii="GHEA Grapalat" w:hAnsi="GHEA Grapalat"/>
          <w:lang w:val="pt-BR" w:eastAsia="ru-RU"/>
        </w:rPr>
        <w:t xml:space="preserve"> հաղթող ճանաչված մասնակցի հետ պայմանագրի պայմանների վերաբերյալ համաձայնություն ձեռք չբերելու դեպքում պայմանագիր չի կնքվի և պայմանագրի կնքումը կարող է առաջարկվել Մրցույթում երկրորդ տեղը զբաղեցրած մասնակցին, եթե այդպիսին առկա է: </w:t>
      </w:r>
      <w:r w:rsidRPr="005B6182">
        <w:rPr>
          <w:rFonts w:ascii="GHEA Grapalat" w:hAnsi="GHEA Grapalat"/>
          <w:lang w:val="hy-AM" w:eastAsia="ru-RU"/>
        </w:rPr>
        <w:t xml:space="preserve">Հաղթող Մասնակցի և երկրորդ տեղը զբաղեցրած Մասնակցի հետ պայմանագիր չկնքվելու </w:t>
      </w:r>
      <w:r w:rsidRPr="005B6182">
        <w:rPr>
          <w:rFonts w:ascii="GHEA Grapalat" w:hAnsi="GHEA Grapalat"/>
          <w:lang w:val="pt-BR" w:eastAsia="ru-RU"/>
        </w:rPr>
        <w:t>դեպքում՝ Մրցույթի արդյունքները չեղյալ են համարվում:</w:t>
      </w:r>
    </w:p>
    <w:p w14:paraId="0B19EBCF" w14:textId="77777777" w:rsidR="000A6953" w:rsidRPr="005B6182" w:rsidRDefault="000A6953" w:rsidP="005B6182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000000" w:themeColor="text1"/>
          <w:lang w:val="hy-AM" w:eastAsia="ru-RU"/>
        </w:rPr>
      </w:pPr>
      <w:r w:rsidRPr="005B6182">
        <w:rPr>
          <w:rFonts w:ascii="GHEA Grapalat" w:hAnsi="GHEA Grapalat"/>
          <w:color w:val="000000" w:themeColor="text1"/>
          <w:lang w:val="pt-BR"/>
        </w:rPr>
        <w:t>«</w:t>
      </w:r>
      <w:r w:rsidRPr="005B6182">
        <w:rPr>
          <w:rFonts w:ascii="GHEA Grapalat" w:hAnsi="GHEA Grapalat"/>
          <w:color w:val="000000" w:themeColor="text1"/>
          <w:lang w:val="pt-BR" w:eastAsia="ru-RU"/>
        </w:rPr>
        <w:t>Կոնվերս Բանկ»</w:t>
      </w:r>
      <w:r w:rsidRPr="005B6182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5B6182">
        <w:rPr>
          <w:rFonts w:ascii="GHEA Grapalat" w:hAnsi="GHEA Grapalat"/>
          <w:color w:val="000000" w:themeColor="text1"/>
          <w:shd w:val="clear" w:color="auto" w:fill="FFFFFF"/>
        </w:rPr>
        <w:t>ՓԲԸ</w:t>
      </w:r>
      <w:r w:rsidRPr="005B6182">
        <w:rPr>
          <w:rFonts w:ascii="GHEA Grapalat" w:hAnsi="GHEA Grapalat"/>
          <w:color w:val="000000" w:themeColor="text1"/>
          <w:shd w:val="clear" w:color="auto" w:fill="FFFFFF"/>
          <w:lang w:val="pt-BR"/>
        </w:rPr>
        <w:t>-</w:t>
      </w:r>
      <w:r w:rsidRPr="005B6182">
        <w:rPr>
          <w:rFonts w:ascii="GHEA Grapalat" w:hAnsi="GHEA Grapalat"/>
          <w:color w:val="000000" w:themeColor="text1"/>
          <w:shd w:val="clear" w:color="auto" w:fill="FFFFFF"/>
        </w:rPr>
        <w:t>ն</w:t>
      </w:r>
      <w:r w:rsidRPr="005B6182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5B6182">
        <w:rPr>
          <w:rFonts w:ascii="GHEA Grapalat" w:hAnsi="GHEA Grapalat"/>
          <w:color w:val="000000" w:themeColor="text1"/>
          <w:shd w:val="clear" w:color="auto" w:fill="FFFFFF"/>
        </w:rPr>
        <w:t>չի</w:t>
      </w:r>
      <w:proofErr w:type="spellEnd"/>
      <w:r w:rsidRPr="005B6182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5B6182">
        <w:rPr>
          <w:rFonts w:ascii="GHEA Grapalat" w:hAnsi="GHEA Grapalat"/>
          <w:color w:val="000000" w:themeColor="text1"/>
          <w:shd w:val="clear" w:color="auto" w:fill="FFFFFF"/>
        </w:rPr>
        <w:t>պարտավորվում</w:t>
      </w:r>
      <w:proofErr w:type="spellEnd"/>
      <w:r w:rsidRPr="005B6182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5B6182">
        <w:rPr>
          <w:rFonts w:ascii="GHEA Grapalat" w:hAnsi="GHEA Grapalat"/>
          <w:color w:val="000000" w:themeColor="text1"/>
          <w:shd w:val="clear" w:color="auto" w:fill="FFFFFF"/>
        </w:rPr>
        <w:t>ընդունել</w:t>
      </w:r>
      <w:proofErr w:type="spellEnd"/>
      <w:r w:rsidRPr="005B6182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5B6182">
        <w:rPr>
          <w:rFonts w:ascii="GHEA Grapalat" w:hAnsi="GHEA Grapalat"/>
          <w:color w:val="000000" w:themeColor="text1"/>
          <w:shd w:val="clear" w:color="auto" w:fill="FFFFFF"/>
        </w:rPr>
        <w:t>առաջարկներից</w:t>
      </w:r>
      <w:proofErr w:type="spellEnd"/>
      <w:r w:rsidRPr="005B6182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5B6182">
        <w:rPr>
          <w:rFonts w:ascii="GHEA Grapalat" w:hAnsi="GHEA Grapalat"/>
          <w:color w:val="000000" w:themeColor="text1"/>
          <w:shd w:val="clear" w:color="auto" w:fill="FFFFFF"/>
        </w:rPr>
        <w:t>որևէ</w:t>
      </w:r>
      <w:proofErr w:type="spellEnd"/>
      <w:r w:rsidRPr="005B6182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5B6182">
        <w:rPr>
          <w:rFonts w:ascii="GHEA Grapalat" w:hAnsi="GHEA Grapalat"/>
          <w:color w:val="000000" w:themeColor="text1"/>
          <w:shd w:val="clear" w:color="auto" w:fill="FFFFFF"/>
        </w:rPr>
        <w:t>մեկը</w:t>
      </w:r>
      <w:proofErr w:type="spellEnd"/>
      <w:r w:rsidRPr="005B6182">
        <w:rPr>
          <w:rFonts w:ascii="GHEA Grapalat" w:hAnsi="GHEA Grapalat"/>
          <w:color w:val="000000" w:themeColor="text1"/>
          <w:shd w:val="clear" w:color="auto" w:fill="FFFFFF"/>
          <w:lang w:val="hy-AM"/>
        </w:rPr>
        <w:t>։</w:t>
      </w:r>
    </w:p>
    <w:p w14:paraId="7C7829E1" w14:textId="77777777" w:rsidR="000A6953" w:rsidRPr="005B6182" w:rsidRDefault="000A6953" w:rsidP="005B6182">
      <w:pPr>
        <w:spacing w:line="276" w:lineRule="auto"/>
        <w:ind w:firstLine="720"/>
        <w:jc w:val="both"/>
        <w:textAlignment w:val="baseline"/>
        <w:rPr>
          <w:rFonts w:ascii="GHEA Grapalat" w:hAnsi="GHEA Grapalat"/>
          <w:i/>
          <w:lang w:val="pt-BR" w:eastAsia="ru-RU"/>
        </w:rPr>
      </w:pPr>
    </w:p>
    <w:p w14:paraId="28EB9A18" w14:textId="0D8DD689" w:rsidR="000A6953" w:rsidRPr="005B6182" w:rsidRDefault="000A6953" w:rsidP="005B6182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5B6182">
        <w:rPr>
          <w:rFonts w:ascii="GHEA Grapalat" w:hAnsi="GHEA Grapalat"/>
          <w:lang w:val="pt-BR" w:eastAsia="ru-RU"/>
        </w:rPr>
        <w:t xml:space="preserve">Հայտարարության պահանջների համաձայն, ՀՀ-ում գրանցված և նմանատիպ </w:t>
      </w:r>
      <w:r w:rsidR="002C321D">
        <w:rPr>
          <w:rFonts w:ascii="GHEA Grapalat" w:hAnsi="GHEA Grapalat"/>
          <w:lang w:val="pt-BR" w:eastAsia="ru-RU"/>
        </w:rPr>
        <w:t>սարքերի</w:t>
      </w:r>
      <w:r w:rsidR="002C321D" w:rsidRPr="005B6182">
        <w:rPr>
          <w:rFonts w:ascii="GHEA Grapalat" w:hAnsi="GHEA Grapalat"/>
          <w:lang w:val="pt-BR" w:eastAsia="ru-RU"/>
        </w:rPr>
        <w:t xml:space="preserve"> </w:t>
      </w:r>
      <w:r w:rsidRPr="005B6182">
        <w:rPr>
          <w:rFonts w:ascii="GHEA Grapalat" w:hAnsi="GHEA Grapalat"/>
          <w:lang w:val="pt-BR" w:eastAsia="ru-RU"/>
        </w:rPr>
        <w:t>վաճառքի իրավունք ունեցող ցանկացած կազմակերպություն, որը հանդիսանում է տվյալ ոլորտի պաշտոնական ներկայացուցիչ՝ ունի սույն ընթացակարգին մասնակցելու հավասար իրավունք:</w:t>
      </w:r>
    </w:p>
    <w:p w14:paraId="71836036" w14:textId="77777777" w:rsidR="000A6953" w:rsidRPr="005B6182" w:rsidRDefault="000A6953" w:rsidP="005B6182">
      <w:pPr>
        <w:pStyle w:val="BodyTextIndent"/>
        <w:spacing w:line="276" w:lineRule="auto"/>
        <w:ind w:firstLine="708"/>
        <w:rPr>
          <w:rFonts w:ascii="GHEA Grapalat" w:hAnsi="GHEA Grapalat"/>
          <w:sz w:val="22"/>
          <w:szCs w:val="22"/>
          <w:lang w:val="pt-BR" w:eastAsia="ru-RU"/>
        </w:rPr>
      </w:pPr>
      <w:r w:rsidRPr="005B6182">
        <w:rPr>
          <w:rFonts w:ascii="GHEA Grapalat" w:hAnsi="GHEA Grapalat"/>
          <w:sz w:val="22"/>
          <w:szCs w:val="22"/>
          <w:lang w:val="pt-BR" w:eastAsia="ru-RU"/>
        </w:rPr>
        <w:t xml:space="preserve">Հայտնում ենք, որ </w:t>
      </w:r>
      <w:r w:rsidRPr="005B6182">
        <w:rPr>
          <w:rFonts w:ascii="GHEA Grapalat" w:hAnsi="GHEA Grapalat"/>
          <w:color w:val="44444C"/>
          <w:sz w:val="22"/>
          <w:szCs w:val="22"/>
          <w:lang w:val="pt-BR"/>
        </w:rPr>
        <w:t>«</w:t>
      </w:r>
      <w:r w:rsidRPr="005B6182">
        <w:rPr>
          <w:rFonts w:ascii="GHEA Grapalat" w:hAnsi="GHEA Grapalat"/>
          <w:sz w:val="22"/>
          <w:szCs w:val="22"/>
          <w:lang w:val="pt-BR" w:eastAsia="ru-RU"/>
        </w:rPr>
        <w:t>Կոնվերս Բանկ» ՓԲԸ-ը ցանկացած ժամանակ կարող է չեղյալ հայտարարել Մրցույթը:</w:t>
      </w:r>
    </w:p>
    <w:p w14:paraId="580EDB1F" w14:textId="77777777" w:rsidR="000A6953" w:rsidRPr="005B6182" w:rsidRDefault="000A6953" w:rsidP="005B6182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4CF9167E" w14:textId="77777777" w:rsidR="000A6953" w:rsidRPr="005B6182" w:rsidRDefault="000A6953" w:rsidP="005B6182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5B6182">
        <w:rPr>
          <w:rFonts w:ascii="GHEA Grapalat" w:hAnsi="GHEA Grapalat"/>
          <w:sz w:val="22"/>
          <w:szCs w:val="22"/>
          <w:lang w:val="pt-BR" w:eastAsia="ru-RU"/>
        </w:rPr>
        <w:t>Սույն հայտարարարությամբ կազմակերպվող մրցույթի անցկացումը չի կարգավորվում «Հրապարակային սակարկությունների մասին» ՀՀ օրենքով:</w:t>
      </w:r>
    </w:p>
    <w:p w14:paraId="0AE0BEA3" w14:textId="77777777" w:rsidR="000A6953" w:rsidRPr="005B6182" w:rsidRDefault="000A6953" w:rsidP="005B6182">
      <w:pPr>
        <w:pStyle w:val="BodyTextIndent"/>
        <w:spacing w:line="276" w:lineRule="auto"/>
        <w:rPr>
          <w:rFonts w:ascii="GHEA Grapalat" w:hAnsi="GHEA Grapalat"/>
          <w:sz w:val="22"/>
          <w:szCs w:val="22"/>
          <w:lang w:val="pt-BR" w:eastAsia="ru-RU"/>
        </w:rPr>
      </w:pPr>
    </w:p>
    <w:p w14:paraId="6AFE250A" w14:textId="50EE625C" w:rsidR="000A6953" w:rsidRPr="005B6182" w:rsidRDefault="000A6953" w:rsidP="005B6182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5B6182">
        <w:rPr>
          <w:rFonts w:ascii="GHEA Grapalat" w:hAnsi="GHEA Grapalat"/>
          <w:sz w:val="22"/>
          <w:szCs w:val="22"/>
          <w:lang w:val="pt-BR" w:eastAsia="ru-RU"/>
        </w:rPr>
        <w:t xml:space="preserve">Մրցույթին մասնակցելու և լրացուցիչ տեղեկություններ ստանալու համար </w:t>
      </w:r>
      <w:r w:rsidR="007A7ECF" w:rsidRPr="005B6182">
        <w:rPr>
          <w:rFonts w:ascii="GHEA Grapalat" w:hAnsi="GHEA Grapalat"/>
          <w:sz w:val="22"/>
          <w:szCs w:val="22"/>
          <w:lang w:val="pt-BR" w:eastAsia="ru-RU"/>
        </w:rPr>
        <w:t xml:space="preserve">կարող եք </w:t>
      </w:r>
      <w:r w:rsidRPr="005B6182">
        <w:rPr>
          <w:rFonts w:ascii="GHEA Grapalat" w:hAnsi="GHEA Grapalat"/>
          <w:sz w:val="22"/>
          <w:szCs w:val="22"/>
          <w:lang w:val="pt-BR" w:eastAsia="ru-RU"/>
        </w:rPr>
        <w:t>ուղարկել հաղորդագրություն</w:t>
      </w:r>
      <w:r w:rsidRPr="005B6182">
        <w:rPr>
          <w:rFonts w:ascii="Calibri" w:hAnsi="Calibri" w:cs="Calibri"/>
          <w:sz w:val="22"/>
          <w:szCs w:val="22"/>
          <w:lang w:val="pt-BR" w:eastAsia="ru-RU"/>
        </w:rPr>
        <w:t> </w:t>
      </w:r>
      <w:hyperlink r:id="rId8" w:history="1">
        <w:r w:rsidRPr="005B6182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5B6182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B6182">
        <w:rPr>
          <w:rFonts w:ascii="GHEA Grapalat" w:hAnsi="GHEA Grapalat"/>
          <w:sz w:val="22"/>
          <w:szCs w:val="22"/>
          <w:lang w:val="pt-BR" w:eastAsia="ru-RU"/>
        </w:rPr>
        <w:t xml:space="preserve">էլեկտրոնային փոստի հասցեին, իսկ տեխնիկական հարցերի դեպքում կարող եք դիմել </w:t>
      </w:r>
      <w:r w:rsidR="007A7ECF" w:rsidRPr="005B6182">
        <w:rPr>
          <w:rFonts w:ascii="GHEA Grapalat" w:hAnsi="GHEA Grapalat"/>
          <w:sz w:val="22"/>
          <w:szCs w:val="22"/>
          <w:lang w:val="pt-BR" w:eastAsia="ru-RU"/>
        </w:rPr>
        <w:t xml:space="preserve">«Կոնվերս Բանկ» ՓԲԸ </w:t>
      </w:r>
      <w:r w:rsidR="002C321D" w:rsidRPr="002C321D">
        <w:rPr>
          <w:rFonts w:ascii="GHEA Grapalat" w:hAnsi="GHEA Grapalat"/>
          <w:sz w:val="22"/>
          <w:szCs w:val="22"/>
          <w:lang w:val="pt-BR" w:eastAsia="ru-RU"/>
        </w:rPr>
        <w:t>ՏՏԹԴ Ադմինիստրավորման Վարչություն՝ (+374 10) 511 211, ներքին 1204 հեռախոսահամարով</w:t>
      </w:r>
      <w:r w:rsidR="00463405">
        <w:rPr>
          <w:rFonts w:ascii="GHEA Grapalat" w:hAnsi="GHEA Grapalat"/>
          <w:sz w:val="22"/>
          <w:szCs w:val="22"/>
          <w:lang w:val="pt-BR" w:eastAsia="ru-RU"/>
        </w:rPr>
        <w:t xml:space="preserve"> </w:t>
      </w:r>
      <w:r w:rsidR="007A7ECF" w:rsidRPr="005B6182">
        <w:rPr>
          <w:rFonts w:ascii="GHEA Grapalat" w:hAnsi="GHEA Grapalat"/>
          <w:sz w:val="22"/>
          <w:szCs w:val="22"/>
          <w:lang w:val="pt-BR" w:eastAsia="ru-RU"/>
        </w:rPr>
        <w:t>կ</w:t>
      </w:r>
      <w:r w:rsidRPr="005B6182">
        <w:rPr>
          <w:rFonts w:ascii="GHEA Grapalat" w:hAnsi="GHEA Grapalat"/>
          <w:sz w:val="22"/>
          <w:szCs w:val="22"/>
          <w:lang w:val="pt-BR" w:eastAsia="ru-RU"/>
        </w:rPr>
        <w:t>ամ ուղարկել հաղորդագրություն</w:t>
      </w:r>
      <w:r w:rsidRPr="005B6182"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hyperlink r:id="rId9" w:history="1">
        <w:r w:rsidRPr="005B6182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5B6182">
        <w:rPr>
          <w:rFonts w:ascii="GHEA Grapalat" w:hAnsi="GHEA Grapalat"/>
          <w:color w:val="1F497D"/>
          <w:sz w:val="22"/>
          <w:szCs w:val="22"/>
          <w:lang w:val="pt-BR"/>
        </w:rPr>
        <w:t xml:space="preserve"> </w:t>
      </w:r>
      <w:r w:rsidRPr="005B6182">
        <w:rPr>
          <w:rFonts w:ascii="GHEA Grapalat" w:hAnsi="GHEA Grapalat"/>
          <w:sz w:val="22"/>
          <w:szCs w:val="22"/>
          <w:lang w:val="pt-BR" w:eastAsia="ru-RU"/>
        </w:rPr>
        <w:t>էլեկտրոնային փոստի հասցեին):</w:t>
      </w:r>
    </w:p>
    <w:p w14:paraId="32DFE8D2" w14:textId="77777777" w:rsidR="000A6953" w:rsidRPr="005B6182" w:rsidRDefault="000A6953" w:rsidP="005B6182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52F38140" w14:textId="77777777" w:rsidR="000A6953" w:rsidRPr="005B6182" w:rsidRDefault="000A6953" w:rsidP="005B6182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  <w:r w:rsidRPr="005B6182">
        <w:rPr>
          <w:rFonts w:ascii="GHEA Grapalat" w:hAnsi="GHEA Grapalat"/>
          <w:i/>
          <w:sz w:val="22"/>
          <w:szCs w:val="22"/>
          <w:lang w:val="pt-BR" w:eastAsia="ru-RU"/>
        </w:rPr>
        <w:t>Խնդրում ենք հայտում նշել, թե հայտարարությունների ո</w:t>
      </w:r>
      <w:r w:rsidRPr="005B6182">
        <w:rPr>
          <w:rFonts w:ascii="GHEA Grapalat" w:hAnsi="GHEA Grapalat" w:cs="Tahoma"/>
          <w:i/>
          <w:color w:val="000000"/>
          <w:sz w:val="22"/>
          <w:szCs w:val="22"/>
          <w:shd w:val="clear" w:color="auto" w:fill="F9F9F9"/>
        </w:rPr>
        <w:t>՞</w:t>
      </w:r>
      <w:r w:rsidRPr="005B6182">
        <w:rPr>
          <w:rFonts w:ascii="GHEA Grapalat" w:hAnsi="GHEA Grapalat"/>
          <w:i/>
          <w:sz w:val="22"/>
          <w:szCs w:val="22"/>
          <w:lang w:val="pt-BR" w:eastAsia="ru-RU"/>
        </w:rPr>
        <w:t>ր կայքից եք տեղեկացել Մրցույթի մասին:</w:t>
      </w:r>
    </w:p>
    <w:p w14:paraId="62B26098" w14:textId="77777777" w:rsidR="000A6953" w:rsidRPr="005B6182" w:rsidRDefault="000A6953" w:rsidP="005B6182">
      <w:pPr>
        <w:pStyle w:val="BodyTextIndent"/>
        <w:spacing w:line="276" w:lineRule="auto"/>
        <w:ind w:firstLine="720"/>
        <w:rPr>
          <w:rFonts w:ascii="GHEA Grapalat" w:hAnsi="GHEA Grapalat"/>
          <w:color w:val="222A35"/>
          <w:sz w:val="22"/>
          <w:szCs w:val="22"/>
        </w:rPr>
      </w:pPr>
    </w:p>
    <w:p w14:paraId="70309A15" w14:textId="77777777" w:rsidR="000A6953" w:rsidRPr="005B6182" w:rsidRDefault="000A6953" w:rsidP="005B6182">
      <w:pPr>
        <w:pStyle w:val="BodyTextIndent"/>
        <w:spacing w:line="276" w:lineRule="auto"/>
        <w:ind w:firstLine="720"/>
        <w:rPr>
          <w:rFonts w:ascii="GHEA Grapalat" w:hAnsi="GHEA Grapalat"/>
          <w:b/>
          <w:i/>
          <w:sz w:val="22"/>
          <w:szCs w:val="22"/>
          <w:lang w:val="pt-BR" w:eastAsia="ru-RU"/>
        </w:rPr>
        <w:sectPr w:rsidR="000A6953" w:rsidRPr="005B6182" w:rsidSect="003E14AA">
          <w:headerReference w:type="default" r:id="rId10"/>
          <w:pgSz w:w="12240" w:h="15840"/>
          <w:pgMar w:top="1418" w:right="851" w:bottom="1418" w:left="1247" w:header="283" w:footer="283" w:gutter="0"/>
          <w:cols w:space="720"/>
          <w:docGrid w:linePitch="360"/>
        </w:sectPr>
      </w:pPr>
    </w:p>
    <w:p w14:paraId="6C782FFB" w14:textId="77777777" w:rsidR="001D4517" w:rsidRPr="00463405" w:rsidRDefault="001D4517" w:rsidP="005B6182">
      <w:pPr>
        <w:spacing w:line="276" w:lineRule="auto"/>
        <w:jc w:val="center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3405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ԳՆԱՌԱՋԱՐԿՆԵՐԻ ՆԵՐԿԱՅԱՑՄԱՆ ՀԱՅՏ</w:t>
      </w:r>
    </w:p>
    <w:p w14:paraId="59D58E38" w14:textId="77777777" w:rsidR="001D4517" w:rsidRPr="00463405" w:rsidRDefault="001D4517" w:rsidP="005B6182">
      <w:pPr>
        <w:spacing w:line="276" w:lineRule="auto"/>
        <w:jc w:val="center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BDD2AE" w14:textId="6426F71D" w:rsidR="001D4517" w:rsidRPr="005B6182" w:rsidRDefault="001D4517" w:rsidP="005B6182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463405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«ԿՈՆՎԵՐՍ ԲԱՆԿ» ՓԲԸ </w:t>
      </w:r>
      <w:r w:rsidR="00463405" w:rsidRPr="005B6182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ՍԵՐՎԵՐՆԵՐԻ ՁԵՌՔԲԵՐՄԱՆ</w:t>
      </w:r>
    </w:p>
    <w:p w14:paraId="7313B230" w14:textId="134DC49C" w:rsidR="000A6953" w:rsidRPr="005B6182" w:rsidRDefault="000A6953" w:rsidP="005B6182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5521B1DC" w14:textId="77777777" w:rsidR="00A0377F" w:rsidRPr="005B6182" w:rsidRDefault="00A0377F" w:rsidP="005B6182">
      <w:pPr>
        <w:spacing w:line="276" w:lineRule="auto"/>
        <w:jc w:val="center"/>
        <w:rPr>
          <w:rFonts w:ascii="GHEA Grapalat" w:hAnsi="GHEA Grapalat"/>
          <w:lang w:val="hy-AM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0A6953" w:rsidRPr="005B6182" w14:paraId="27823F7D" w14:textId="77777777" w:rsidTr="008E6E32">
        <w:trPr>
          <w:trHeight w:val="17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BEA4" w14:textId="77777777" w:rsidR="000A6953" w:rsidRPr="005B6182" w:rsidRDefault="000A6953" w:rsidP="005B618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5B6182">
              <w:rPr>
                <w:rFonts w:ascii="GHEA Grapalat" w:hAnsi="GHEA Grapalat"/>
                <w:i/>
                <w:lang w:val="hy-AM"/>
              </w:rPr>
              <w:t>Հայտատու՝</w:t>
            </w:r>
          </w:p>
          <w:p w14:paraId="1F49864D" w14:textId="77777777" w:rsidR="000A6953" w:rsidRPr="005B6182" w:rsidRDefault="000A6953" w:rsidP="005B618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5B6182">
              <w:rPr>
                <w:rFonts w:ascii="GHEA Grapalat" w:hAnsi="GHEA Grapalat"/>
                <w:i/>
                <w:lang w:val="hy-AM"/>
              </w:rPr>
              <w:t>Ներկայացուցիչ՝</w:t>
            </w:r>
          </w:p>
          <w:p w14:paraId="62B200F3" w14:textId="77777777" w:rsidR="000A6953" w:rsidRPr="005B6182" w:rsidRDefault="000A6953" w:rsidP="005B618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5B6182">
              <w:rPr>
                <w:rFonts w:ascii="GHEA Grapalat" w:hAnsi="GHEA Grapalat"/>
                <w:i/>
                <w:lang w:val="hy-AM"/>
              </w:rPr>
              <w:t>Հասցե՝</w:t>
            </w:r>
          </w:p>
          <w:p w14:paraId="61DB6755" w14:textId="77777777" w:rsidR="000A6953" w:rsidRPr="005B6182" w:rsidRDefault="000A6953" w:rsidP="005B618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5B6182">
              <w:rPr>
                <w:rFonts w:ascii="GHEA Grapalat" w:hAnsi="GHEA Grapalat"/>
                <w:i/>
                <w:lang w:val="hy-AM"/>
              </w:rPr>
              <w:t>Հեռախոսահամար՝</w:t>
            </w:r>
          </w:p>
          <w:p w14:paraId="391807CA" w14:textId="77777777" w:rsidR="000A6953" w:rsidRPr="005B6182" w:rsidRDefault="000A6953" w:rsidP="005B618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5B6182">
              <w:rPr>
                <w:rFonts w:ascii="GHEA Grapalat" w:hAnsi="GHEA Grapalat"/>
                <w:i/>
                <w:lang w:val="hy-AM"/>
              </w:rPr>
              <w:t>Էլ</w:t>
            </w:r>
            <w:r w:rsidRPr="005B6182">
              <w:rPr>
                <w:rFonts w:ascii="Cambria Math" w:hAnsi="Cambria Math" w:cs="Cambria Math"/>
                <w:i/>
                <w:lang w:val="hy-AM"/>
              </w:rPr>
              <w:t>․</w:t>
            </w:r>
            <w:r w:rsidRPr="005B6182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5B6182">
              <w:rPr>
                <w:rFonts w:ascii="GHEA Grapalat" w:hAnsi="GHEA Grapalat" w:cs="Sylfaen"/>
                <w:i/>
                <w:lang w:val="hy-AM"/>
              </w:rPr>
              <w:t>փոստի</w:t>
            </w:r>
            <w:r w:rsidRPr="005B6182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5B6182">
              <w:rPr>
                <w:rFonts w:ascii="GHEA Grapalat" w:hAnsi="GHEA Grapalat" w:cs="Sylfaen"/>
                <w:i/>
                <w:lang w:val="hy-AM"/>
              </w:rPr>
              <w:t>հասցե՝</w:t>
            </w:r>
          </w:p>
          <w:p w14:paraId="69EF970A" w14:textId="77777777" w:rsidR="000A6953" w:rsidRPr="005B6182" w:rsidRDefault="000A6953" w:rsidP="005B618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5B6182">
              <w:rPr>
                <w:rFonts w:ascii="GHEA Grapalat" w:hAnsi="GHEA Grapalat"/>
                <w:i/>
                <w:lang w:val="hy-AM"/>
              </w:rPr>
              <w:t>Կայքի հասցե՝</w:t>
            </w:r>
          </w:p>
        </w:tc>
      </w:tr>
    </w:tbl>
    <w:p w14:paraId="4ACA649E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</w:rPr>
      </w:pPr>
    </w:p>
    <w:p w14:paraId="5182E2CE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b/>
          <w:i/>
          <w:u w:val="single"/>
        </w:rPr>
      </w:pPr>
      <w:r w:rsidRPr="005B6182">
        <w:rPr>
          <w:rFonts w:ascii="GHEA Grapalat" w:hAnsi="GHEA Grapalat"/>
        </w:rPr>
        <w:t>*</w:t>
      </w:r>
      <w:r w:rsidRPr="005B6182">
        <w:rPr>
          <w:rFonts w:ascii="GHEA Grapalat" w:hAnsi="GHEA Grapalat"/>
          <w:b/>
          <w:i/>
          <w:u w:val="single"/>
          <w:lang w:val="hy-AM"/>
        </w:rPr>
        <w:t xml:space="preserve">Ստորև </w:t>
      </w:r>
      <w:proofErr w:type="spellStart"/>
      <w:r w:rsidRPr="005B6182">
        <w:rPr>
          <w:rFonts w:ascii="GHEA Grapalat" w:hAnsi="GHEA Grapalat"/>
          <w:b/>
          <w:i/>
          <w:u w:val="single"/>
        </w:rPr>
        <w:t>աղյուսակում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նշված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պարտադիր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պահանջների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առնչությամբ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որևէ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տողում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Ձեր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հաստատող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նշումի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բացակայության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պարագայում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Ձեր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հայտը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Բանկի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կողմից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չի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5B6182">
        <w:rPr>
          <w:rFonts w:ascii="GHEA Grapalat" w:hAnsi="GHEA Grapalat"/>
          <w:b/>
          <w:i/>
          <w:u w:val="single"/>
        </w:rPr>
        <w:t>դիտարկվի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` </w:t>
      </w:r>
      <w:proofErr w:type="spellStart"/>
      <w:r w:rsidRPr="005B6182">
        <w:rPr>
          <w:rFonts w:ascii="GHEA Grapalat" w:hAnsi="GHEA Grapalat"/>
          <w:b/>
          <w:i/>
          <w:u w:val="single"/>
        </w:rPr>
        <w:t>բացառությամբ</w:t>
      </w:r>
      <w:proofErr w:type="spellEnd"/>
      <w:r w:rsidRPr="005B6182">
        <w:rPr>
          <w:rFonts w:ascii="GHEA Grapalat" w:hAnsi="GHEA Grapalat"/>
          <w:b/>
          <w:i/>
          <w:u w:val="single"/>
        </w:rPr>
        <w:t xml:space="preserve"> 3-րդ </w:t>
      </w:r>
      <w:proofErr w:type="spellStart"/>
      <w:r w:rsidRPr="005B6182">
        <w:rPr>
          <w:rFonts w:ascii="GHEA Grapalat" w:hAnsi="GHEA Grapalat"/>
          <w:b/>
          <w:i/>
          <w:u w:val="single"/>
        </w:rPr>
        <w:t>տողի</w:t>
      </w:r>
      <w:proofErr w:type="spellEnd"/>
      <w:r w:rsidRPr="005B6182">
        <w:rPr>
          <w:rFonts w:ascii="GHEA Grapalat" w:hAnsi="GHEA Grapalat"/>
          <w:b/>
          <w:i/>
          <w:u w:val="single"/>
        </w:rPr>
        <w:t>:</w:t>
      </w:r>
    </w:p>
    <w:p w14:paraId="2543D7C6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6"/>
        <w:gridCol w:w="3110"/>
      </w:tblGrid>
      <w:tr w:rsidR="000A6953" w:rsidRPr="005B6182" w14:paraId="2DF3CEC5" w14:textId="77777777" w:rsidTr="008E6E32">
        <w:trPr>
          <w:trHeight w:val="830"/>
        </w:trPr>
        <w:tc>
          <w:tcPr>
            <w:tcW w:w="3444" w:type="pct"/>
            <w:shd w:val="clear" w:color="auto" w:fill="auto"/>
          </w:tcPr>
          <w:p w14:paraId="36B97FBA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5B6182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 xml:space="preserve">Հայտատուի նկատմամբ Բանկի </w:t>
            </w:r>
            <w:proofErr w:type="spellStart"/>
            <w:r w:rsidRPr="005B6182">
              <w:rPr>
                <w:rFonts w:ascii="GHEA Grapalat" w:eastAsia="Times New Roman" w:hAnsi="GHEA Grapalat"/>
                <w:b/>
                <w:i/>
                <w:u w:val="single"/>
              </w:rPr>
              <w:t>պարտադիր</w:t>
            </w:r>
            <w:proofErr w:type="spellEnd"/>
            <w:r w:rsidRPr="005B6182">
              <w:rPr>
                <w:rFonts w:ascii="GHEA Grapalat" w:eastAsia="Times New Roman" w:hAnsi="GHEA Grapalat"/>
                <w:b/>
                <w:i/>
                <w:u w:val="single"/>
              </w:rPr>
              <w:t xml:space="preserve"> </w:t>
            </w:r>
            <w:r w:rsidRPr="005B6182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>պահանջները</w:t>
            </w:r>
          </w:p>
        </w:tc>
        <w:tc>
          <w:tcPr>
            <w:tcW w:w="1556" w:type="pct"/>
            <w:shd w:val="clear" w:color="auto" w:fill="auto"/>
          </w:tcPr>
          <w:p w14:paraId="0565D046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5B6182">
              <w:rPr>
                <w:rFonts w:ascii="GHEA Grapalat" w:eastAsia="Times New Roman" w:hAnsi="GHEA Grapalat" w:cs="Sylfaen"/>
                <w:lang w:val="hy-AM"/>
              </w:rPr>
              <w:t>Ի նշան Ձեր հաստատման խնդրում ենք դնել «V» նշանը համապատասխան վանդակներում</w:t>
            </w:r>
          </w:p>
        </w:tc>
      </w:tr>
      <w:tr w:rsidR="000A6953" w:rsidRPr="005B6182" w14:paraId="1DD31969" w14:textId="77777777" w:rsidTr="008E6E32">
        <w:trPr>
          <w:trHeight w:val="689"/>
        </w:trPr>
        <w:tc>
          <w:tcPr>
            <w:tcW w:w="3444" w:type="pct"/>
            <w:shd w:val="clear" w:color="auto" w:fill="auto"/>
          </w:tcPr>
          <w:p w14:paraId="7D501E06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5B6182">
              <w:rPr>
                <w:rFonts w:ascii="GHEA Grapalat" w:eastAsia="Times New Roman" w:hAnsi="GHEA Grapalat" w:cs="Sylfaen"/>
                <w:lang w:val="hy-AM"/>
              </w:rPr>
              <w:t>Պայմանագրի կնքման դեպքում «Կոնվերս Բանկ»</w:t>
            </w:r>
            <w:r w:rsidRPr="005B6182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5B6182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5B6182">
              <w:rPr>
                <w:rFonts w:ascii="GHEA Grapalat" w:eastAsia="Times New Roman" w:hAnsi="GHEA Grapalat"/>
                <w:lang w:val="hy-AM"/>
              </w:rPr>
              <w:t>-</w:t>
            </w:r>
            <w:r w:rsidRPr="005B6182">
              <w:rPr>
                <w:rFonts w:ascii="GHEA Grapalat" w:eastAsia="Times New Roman" w:hAnsi="GHEA Grapalat" w:cs="Sylfaen"/>
                <w:lang w:val="hy-AM"/>
              </w:rPr>
              <w:t>ում</w:t>
            </w:r>
            <w:r w:rsidRPr="005B6182">
              <w:rPr>
                <w:rFonts w:ascii="GHEA Grapalat" w:eastAsia="Times New Roman" w:hAnsi="GHEA Grapalat"/>
                <w:lang w:val="hy-AM"/>
              </w:rPr>
              <w:t xml:space="preserve"> բանկային </w:t>
            </w:r>
            <w:r w:rsidRPr="005B6182">
              <w:rPr>
                <w:rFonts w:ascii="GHEA Grapalat" w:eastAsia="Times New Roman" w:hAnsi="GHEA Grapalat" w:cs="Sylfaen"/>
                <w:lang w:val="hy-AM"/>
              </w:rPr>
              <w:t>հաշվի</w:t>
            </w:r>
            <w:r w:rsidRPr="005B6182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5B6182">
              <w:rPr>
                <w:rFonts w:ascii="GHEA Grapalat" w:eastAsia="Times New Roman" w:hAnsi="GHEA Grapalat" w:cs="Sylfaen"/>
                <w:lang w:val="hy-AM"/>
              </w:rPr>
              <w:t>առկայության ապահովում, եթե առկա չէ</w:t>
            </w:r>
            <w:r w:rsidRPr="005B6182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5B6182" w14:paraId="6C0335CA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059CD0CF" w14:textId="77777777" w:rsidR="000A6953" w:rsidRPr="005B6182" w:rsidRDefault="000A6953" w:rsidP="005B618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5233871C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5B6182" w14:paraId="7280D3C9" w14:textId="77777777" w:rsidTr="008E6E32">
        <w:trPr>
          <w:trHeight w:val="626"/>
        </w:trPr>
        <w:tc>
          <w:tcPr>
            <w:tcW w:w="3444" w:type="pct"/>
            <w:shd w:val="clear" w:color="auto" w:fill="auto"/>
          </w:tcPr>
          <w:p w14:paraId="46829BA0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5B6182">
              <w:rPr>
                <w:rFonts w:ascii="GHEA Grapalat" w:eastAsia="Times New Roman" w:hAnsi="GHEA Grapalat" w:cs="Sylfaen"/>
                <w:lang w:val="hy-AM"/>
              </w:rPr>
              <w:t>Համապատասխան աշխատանքային փորձի առկայություն (առնվազն —— տարի</w:t>
            </w:r>
            <w:r w:rsidRPr="005B6182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5B6182" w14:paraId="5A4A0D2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B9911BC" w14:textId="77777777" w:rsidR="000A6953" w:rsidRPr="005B6182" w:rsidRDefault="000A6953" w:rsidP="005B618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65E738F4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5B6182" w14:paraId="2F8F0478" w14:textId="77777777" w:rsidTr="008E6E32">
        <w:trPr>
          <w:trHeight w:val="2559"/>
        </w:trPr>
        <w:tc>
          <w:tcPr>
            <w:tcW w:w="3444" w:type="pct"/>
            <w:shd w:val="clear" w:color="auto" w:fill="auto"/>
          </w:tcPr>
          <w:p w14:paraId="5349BC7B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921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5B6182">
              <w:rPr>
                <w:rFonts w:ascii="GHEA Grapalat" w:eastAsia="Times New Roman" w:hAnsi="GHEA Grapalat" w:cs="Sylfaen"/>
                <w:lang w:val="hy-AM"/>
              </w:rPr>
              <w:t>Բանկի և Բանկի աշխատակիցների հետ փոխկապակցվածության, այլ ազգակցական կապի բացակայություն</w:t>
            </w:r>
            <w:r w:rsidRPr="005B6182">
              <w:rPr>
                <w:rFonts w:ascii="GHEA Grapalat" w:eastAsia="Times New Roman" w:hAnsi="GHEA Grapalat" w:cs="Sylfaen"/>
              </w:rPr>
              <w:t xml:space="preserve"> (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Հայտը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կարող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չդիտարկվել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կողմից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եթե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առկա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փոխկապակացվածություն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>/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այլ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ազգակցական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կապ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գնումների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գործընթացի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վրա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հնարավոր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ազդեցություն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ունեցող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աշխատակցի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 w:cs="Sylfaen"/>
              </w:rPr>
              <w:t>հետ</w:t>
            </w:r>
            <w:proofErr w:type="spellEnd"/>
            <w:r w:rsidRPr="005B6182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p w14:paraId="4ED09B44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3"/>
              </w:numP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5B6182">
              <w:rPr>
                <w:rFonts w:ascii="GHEA Grapalat" w:eastAsia="Times New Roman" w:hAnsi="GHEA Grapalat"/>
              </w:rPr>
              <w:t>Բացակայում</w:t>
            </w:r>
            <w:proofErr w:type="spellEnd"/>
            <w:r w:rsidRPr="005B6182">
              <w:rPr>
                <w:rFonts w:ascii="GHEA Grapalat" w:eastAsia="Times New Roman" w:hAnsi="GHEA Grapalat"/>
              </w:rPr>
              <w:t xml:space="preserve"> է</w:t>
            </w:r>
          </w:p>
          <w:p w14:paraId="33E15EB7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5B6182">
              <w:rPr>
                <w:rFonts w:ascii="GHEA Grapalat" w:eastAsia="Times New Roman" w:hAnsi="GHEA Grapalat"/>
              </w:rPr>
              <w:t>Առկա</w:t>
            </w:r>
            <w:proofErr w:type="spellEnd"/>
            <w:r w:rsidRPr="005B6182">
              <w:rPr>
                <w:rFonts w:ascii="GHEA Grapalat" w:eastAsia="Times New Roman" w:hAnsi="GHEA Grapalat"/>
              </w:rPr>
              <w:t xml:space="preserve"> է </w:t>
            </w:r>
            <w:proofErr w:type="spellStart"/>
            <w:r w:rsidRPr="005B6182">
              <w:rPr>
                <w:rFonts w:ascii="GHEA Grapalat" w:eastAsia="Times New Roman" w:hAnsi="GHEA Grapalat"/>
              </w:rPr>
              <w:t>փոխկապակցվածություն</w:t>
            </w:r>
            <w:proofErr w:type="spellEnd"/>
            <w:r w:rsidRPr="005B6182">
              <w:rPr>
                <w:rFonts w:ascii="GHEA Grapalat" w:eastAsia="Times New Roman" w:hAnsi="GHEA Grapalat"/>
              </w:rPr>
              <w:t>/</w:t>
            </w:r>
            <w:proofErr w:type="spellStart"/>
            <w:r w:rsidRPr="005B6182">
              <w:rPr>
                <w:rFonts w:ascii="GHEA Grapalat" w:eastAsia="Times New Roman" w:hAnsi="GHEA Grapalat"/>
              </w:rPr>
              <w:t>այլ</w:t>
            </w:r>
            <w:proofErr w:type="spellEnd"/>
            <w:r w:rsidRPr="005B618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/>
              </w:rPr>
              <w:t>ազգակցական</w:t>
            </w:r>
            <w:proofErr w:type="spellEnd"/>
            <w:r w:rsidRPr="005B618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/>
              </w:rPr>
              <w:t>կապ</w:t>
            </w:r>
            <w:proofErr w:type="spellEnd"/>
            <w:r w:rsidRPr="005B618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/>
              </w:rPr>
              <w:t>ստորև</w:t>
            </w:r>
            <w:proofErr w:type="spellEnd"/>
            <w:r w:rsidRPr="005B618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/>
              </w:rPr>
              <w:t>նշված</w:t>
            </w:r>
            <w:proofErr w:type="spellEnd"/>
            <w:r w:rsidRPr="005B618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/>
              </w:rPr>
              <w:t>անձանց</w:t>
            </w:r>
            <w:proofErr w:type="spellEnd"/>
            <w:r w:rsidRPr="005B618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B6182">
              <w:rPr>
                <w:rFonts w:ascii="GHEA Grapalat" w:eastAsia="Times New Roman" w:hAnsi="GHEA Grapalat"/>
              </w:rPr>
              <w:t>հետ</w:t>
            </w:r>
            <w:proofErr w:type="spellEnd"/>
          </w:p>
          <w:p w14:paraId="67FB523E" w14:textId="77777777" w:rsidR="000A6953" w:rsidRPr="005B6182" w:rsidRDefault="000A6953" w:rsidP="005B6182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5B6182" w14:paraId="69CAE65F" w14:textId="77777777" w:rsidTr="008E6E32">
        <w:trPr>
          <w:trHeight w:val="597"/>
        </w:trPr>
        <w:tc>
          <w:tcPr>
            <w:tcW w:w="3444" w:type="pct"/>
            <w:shd w:val="clear" w:color="auto" w:fill="auto"/>
          </w:tcPr>
          <w:p w14:paraId="1CAB314F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5B6182">
              <w:rPr>
                <w:rFonts w:ascii="GHEA Grapalat" w:eastAsia="Times New Roman" w:hAnsi="GHEA Grapalat" w:cs="Sylfaen"/>
                <w:lang w:val="hy-AM"/>
              </w:rPr>
              <w:t>Շուկայում գերիշխող դիրքի չարաշահման և հակամրցակցային համաձայնության բացակայություն</w:t>
            </w:r>
            <w:r w:rsidRPr="005B6182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5B6182" w14:paraId="0DC7F73C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6E8F62A3" w14:textId="77777777" w:rsidR="000A6953" w:rsidRPr="005B6182" w:rsidRDefault="000A6953" w:rsidP="005B618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4B64818D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5B6182" w14:paraId="340086D2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27F4B6C9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proofErr w:type="spellStart"/>
            <w:r w:rsidRPr="005B6182"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կամ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գործադիր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մարմնի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ներկայացուցչի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>/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մասնակցի</w:t>
            </w:r>
            <w:proofErr w:type="spellEnd"/>
            <w:r w:rsidRPr="005B6182" w:rsidDel="00281D5E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մասով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դատվածության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բացակայություն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5B6182" w14:paraId="2B0FCAA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7215028D" w14:textId="77777777" w:rsidR="000A6953" w:rsidRPr="005B6182" w:rsidRDefault="000A6953" w:rsidP="005B618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17DDD351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5B6182" w14:paraId="59D3562F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1340E934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Sylfaen" w:hAnsi="Sylfaen" w:cs="Sylfaen"/>
                <w:lang w:val="hy-AM"/>
              </w:rPr>
            </w:pPr>
            <w:proofErr w:type="spellStart"/>
            <w:r w:rsidRPr="005B6182">
              <w:rPr>
                <w:rFonts w:ascii="GHEA Grapalat" w:hAnsi="GHEA Grapalat"/>
                <w:spacing w:val="-2"/>
              </w:rPr>
              <w:lastRenderedPageBreak/>
              <w:t>Տրված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տեղեկությունների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արժանահավատության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հաստատում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,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համագործակցության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ընթացքում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տրամադրված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տվյալների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ցանկացած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փոփոխությունների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դեպքում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Բանկին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5B6182">
              <w:rPr>
                <w:rFonts w:ascii="GHEA Grapalat" w:hAnsi="GHEA Grapalat"/>
                <w:spacing w:val="-2"/>
              </w:rPr>
              <w:t>տեղեկացում</w:t>
            </w:r>
            <w:proofErr w:type="spellEnd"/>
            <w:r w:rsidRPr="005B6182">
              <w:rPr>
                <w:rFonts w:ascii="GHEA Grapalat" w:hAnsi="GHEA Grapalat"/>
                <w:spacing w:val="-2"/>
              </w:rPr>
              <w:t>:</w:t>
            </w:r>
          </w:p>
          <w:p w14:paraId="3C3F2B3C" w14:textId="77777777" w:rsidR="000A6953" w:rsidRPr="005B6182" w:rsidRDefault="000A6953" w:rsidP="005B6182">
            <w:pPr>
              <w:pStyle w:val="ListParagraph"/>
              <w:widowControl/>
              <w:tabs>
                <w:tab w:val="left" w:pos="308"/>
              </w:tabs>
              <w:spacing w:line="276" w:lineRule="auto"/>
              <w:ind w:left="24"/>
              <w:contextualSpacing/>
              <w:jc w:val="both"/>
              <w:rPr>
                <w:rFonts w:ascii="Sylfaen" w:hAnsi="Sylfaen" w:cs="Sylfaen"/>
                <w:lang w:val="hy-AM"/>
              </w:rPr>
            </w:pPr>
            <w:r w:rsidRPr="005B6182">
              <w:rPr>
                <w:rFonts w:ascii="GHEA Grapalat" w:eastAsia="Times New Roman" w:hAnsi="GHEA Grapalat" w:cs="Sylfaen"/>
                <w:lang w:val="hy-AM"/>
              </w:rPr>
              <w:t>(Կեղծ կամ ոչ հավաստի կամ թերի տեղեկատվություն կամ փաստաթուղթ ներկայացնելու դեպքում մրցութային Հայտը մերժվում է Բանկի կողմից)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5B6182" w14:paraId="34872633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E6A713D" w14:textId="77777777" w:rsidR="000A6953" w:rsidRPr="005B6182" w:rsidRDefault="000A6953" w:rsidP="005B618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3FD141BA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5B6182" w14:paraId="44A3477E" w14:textId="77777777" w:rsidTr="008E6E32">
        <w:trPr>
          <w:trHeight w:val="2058"/>
        </w:trPr>
        <w:tc>
          <w:tcPr>
            <w:tcW w:w="3444" w:type="pct"/>
            <w:shd w:val="clear" w:color="auto" w:fill="auto"/>
          </w:tcPr>
          <w:p w14:paraId="1B9E2C35" w14:textId="629DFCF5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5B6182">
              <w:rPr>
                <w:rFonts w:ascii="GHEA Grapalat" w:eastAsia="Times New Roman" w:hAnsi="GHEA Grapalat"/>
                <w:lang w:val="hy-AM"/>
              </w:rPr>
              <w:t xml:space="preserve">Մրցույթով նախատեսված ձեռքբերումն առանց կանխավճարի իրականացման կամ կանխավճարի անհրաժեշտության դեպքում` կանխավճարի չափով բանկային երաշխիքի ապահովում ՀՀ տարածքում գրանցված առևտրային բանկի կողմից, ընդ որում կանխավճարի չափը չի կարող գերազանցել պայմանագրի արժեքի </w:t>
            </w:r>
            <w:r w:rsidR="002520B8" w:rsidRPr="005B6182">
              <w:rPr>
                <w:rFonts w:ascii="GHEA Grapalat" w:eastAsia="Times New Roman" w:hAnsi="GHEA Grapalat"/>
              </w:rPr>
              <w:t>50</w:t>
            </w:r>
            <w:r w:rsidR="002520B8" w:rsidRPr="005B6182">
              <w:rPr>
                <w:rFonts w:ascii="GHEA Grapalat" w:eastAsia="Times New Roman" w:hAnsi="GHEA Grapalat"/>
                <w:lang w:val="hy-AM"/>
              </w:rPr>
              <w:t>%-</w:t>
            </w:r>
            <w:r w:rsidRPr="005B6182">
              <w:rPr>
                <w:rFonts w:ascii="GHEA Grapalat" w:eastAsia="Times New Roman" w:hAnsi="GHEA Grapalat"/>
                <w:lang w:val="hy-AM"/>
              </w:rPr>
              <w:t>ը: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5B6182" w14:paraId="4D76030B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12ACA5" w14:textId="77777777" w:rsidR="000A6953" w:rsidRPr="005B6182" w:rsidRDefault="000A6953" w:rsidP="005B618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35F9350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5B6182" w14:paraId="37155BE3" w14:textId="77777777" w:rsidTr="008E6E32">
        <w:trPr>
          <w:trHeight w:val="900"/>
        </w:trPr>
        <w:tc>
          <w:tcPr>
            <w:tcW w:w="3444" w:type="pct"/>
            <w:shd w:val="clear" w:color="auto" w:fill="auto"/>
          </w:tcPr>
          <w:p w14:paraId="46FA8809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5B6182">
              <w:rPr>
                <w:rFonts w:ascii="GHEA Grapalat" w:eastAsia="Times New Roman" w:hAnsi="GHEA Grapalat"/>
                <w:lang w:val="hy-AM"/>
              </w:rPr>
              <w:t>Ծառայությունները պատշաճ մատուցելու համար աշխատանքային բավարար ռեսուրսների և համապատասխան տեխնիկական միջոցների առկայություն: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5B6182" w14:paraId="3547031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441A441" w14:textId="77777777" w:rsidR="000A6953" w:rsidRPr="005B6182" w:rsidRDefault="000A6953" w:rsidP="005B618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004D7886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5B6182" w14:paraId="50D4AA32" w14:textId="77777777" w:rsidTr="008E6E32">
        <w:trPr>
          <w:trHeight w:val="1639"/>
        </w:trPr>
        <w:tc>
          <w:tcPr>
            <w:tcW w:w="3444" w:type="pct"/>
            <w:shd w:val="clear" w:color="auto" w:fill="auto"/>
          </w:tcPr>
          <w:p w14:paraId="4972D793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5B6182">
              <w:rPr>
                <w:rFonts w:ascii="GHEA Grapalat" w:eastAsia="Times New Roman" w:hAnsi="GHEA Grapalat"/>
                <w:lang w:val="hy-AM"/>
              </w:rPr>
              <w:t xml:space="preserve">Մրցույթում հաղթող ճանաչվելուց հետո պայմանագրի կնքումից հրաժարվելու դեպքում պայմանագրի նախագիծը ստանալու պահից 3 /երեք/ </w:t>
            </w:r>
            <w:r w:rsidRPr="005B6182">
              <w:rPr>
                <w:rFonts w:ascii="GHEA Grapalat" w:hAnsi="GHEA Grapalat"/>
                <w:lang w:val="pt-BR" w:eastAsia="ru-RU"/>
              </w:rPr>
              <w:t xml:space="preserve">աշխատանքային </w:t>
            </w:r>
            <w:r w:rsidRPr="005B6182">
              <w:rPr>
                <w:rFonts w:ascii="GHEA Grapalat" w:eastAsia="Times New Roman" w:hAnsi="GHEA Grapalat"/>
                <w:lang w:val="hy-AM"/>
              </w:rPr>
              <w:t>օրվա ընթացքում Բանկին այդ մասին չհայտնելու դեպքում՝ ներկայացված գնառաջարկի 1.5 /մեկ ամբողջ հինգ տասնորդական/ տոկոսի չափով տուգանքի վճարում: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5B6182" w14:paraId="03D967FF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5C50EE6" w14:textId="77777777" w:rsidR="000A6953" w:rsidRPr="005B6182" w:rsidRDefault="000A6953" w:rsidP="005B618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6775E54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14:paraId="6C6A9B4C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5B6182" w14:paraId="39063154" w14:textId="77777777" w:rsidTr="008E6E32">
        <w:trPr>
          <w:trHeight w:val="1225"/>
        </w:trPr>
        <w:tc>
          <w:tcPr>
            <w:tcW w:w="3444" w:type="pct"/>
            <w:shd w:val="clear" w:color="auto" w:fill="auto"/>
          </w:tcPr>
          <w:p w14:paraId="0992161C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420"/>
              </w:tabs>
              <w:spacing w:line="276" w:lineRule="auto"/>
              <w:ind w:left="24" w:right="7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5B6182">
              <w:rPr>
                <w:rFonts w:ascii="GHEA Grapalat" w:eastAsia="Times New Roman" w:hAnsi="GHEA Grapalat"/>
                <w:lang w:val="hy-AM"/>
              </w:rPr>
              <w:t>Հայտատուի նմանօրինակ ծառայություններից օգտվող կազմակերպությունների կողմից տրված երաշխավորագրերի առկայություն /խնդրում ենք կցել երաշխավորագրերի պատճենները/:</w:t>
            </w:r>
            <w:r w:rsidRPr="005B6182">
              <w:rPr>
                <w:rFonts w:ascii="GHEA Grapalat" w:eastAsia="Times New Roman" w:hAnsi="GHEA Grapalat"/>
                <w:lang w:val="hy-AM"/>
              </w:rPr>
              <w:tab/>
            </w:r>
            <w:r w:rsidRPr="005B6182">
              <w:rPr>
                <w:rFonts w:ascii="GHEA Grapalat" w:eastAsia="Times New Roman" w:hAnsi="GHEA Grapalat"/>
                <w:lang w:val="hy-AM"/>
              </w:rPr>
              <w:tab/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5B6182" w14:paraId="3C2F3258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4466F0C3" w14:textId="77777777" w:rsidR="000A6953" w:rsidRPr="005B6182" w:rsidRDefault="000A6953" w:rsidP="005B618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9AB3B13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5B6182" w14:paraId="2FABEDD0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3D9F2CDF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5B6182">
              <w:rPr>
                <w:rFonts w:ascii="GHEA Grapalat" w:hAnsi="GHEA Grapalat"/>
                <w:lang w:val="pt-BR" w:eastAsia="ru-RU"/>
              </w:rPr>
              <w:t xml:space="preserve">Հաղթող ճանաչված մասնակցի հետ պայմանագրի պայմանների վերաբերյալ համաձայնություն ձեռք չբերելու դեպքում պայմանագիր չի կնքվի և պայմանագրի կնքումը կարող է առաջարկվել Մրցույթում երկրորդ տեղը զբաղեցրած մասնակցին, եթե այդպիսին առկա է: </w:t>
            </w:r>
            <w:r w:rsidRPr="005B6182">
              <w:rPr>
                <w:rFonts w:ascii="GHEA Grapalat" w:hAnsi="GHEA Grapalat"/>
                <w:lang w:val="hy-AM" w:eastAsia="ru-RU"/>
              </w:rPr>
              <w:t xml:space="preserve">Հաղթող Մասնակցի և երկրորդ տեղը զբաղեցրած Մասնակցի հետ պայմանագիր չկնքվելու </w:t>
            </w:r>
            <w:r w:rsidRPr="005B6182">
              <w:rPr>
                <w:rFonts w:ascii="GHEA Grapalat" w:hAnsi="GHEA Grapalat"/>
                <w:lang w:val="pt-BR" w:eastAsia="ru-RU"/>
              </w:rPr>
              <w:t>դեպքում՝ Մրցույթի արդյունքները չեղյալ են համարվում: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5B6182" w14:paraId="1189E86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893A2F" w14:textId="77777777" w:rsidR="000A6953" w:rsidRPr="005B6182" w:rsidRDefault="000A6953" w:rsidP="005B618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2A499C4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5B6182" w14:paraId="4DC044AB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71CF16E8" w14:textId="77777777" w:rsidR="000A6953" w:rsidRPr="005B6182" w:rsidRDefault="000A6953" w:rsidP="005B6182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hAnsi="GHEA Grapalat"/>
                <w:lang w:val="pt-BR" w:eastAsia="ru-RU"/>
              </w:rPr>
            </w:pPr>
            <w:r w:rsidRPr="005B6182">
              <w:rPr>
                <w:rFonts w:ascii="GHEA Grapalat" w:eastAsia="Times New Roman" w:hAnsi="GHEA Grapalat"/>
                <w:lang w:val="hy-AM"/>
              </w:rPr>
              <w:t>Այլ տեղեկություն՝ Հայտատուի հայեցողությամբ /խնդրում ենք կցել համապատասխան փաստաթղթերի պատճենները/: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5B6182" w14:paraId="393D19D4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30AEB406" w14:textId="77777777" w:rsidR="000A6953" w:rsidRPr="005B6182" w:rsidRDefault="000A6953" w:rsidP="005B618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814B713" w14:textId="77777777" w:rsidR="000A6953" w:rsidRPr="005B6182" w:rsidRDefault="000A6953" w:rsidP="005B618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</w:tbl>
    <w:p w14:paraId="23F133E4" w14:textId="77777777" w:rsidR="007A7ECF" w:rsidRPr="005B6182" w:rsidRDefault="007A7ECF" w:rsidP="005B6182">
      <w:pPr>
        <w:tabs>
          <w:tab w:val="left" w:pos="3265"/>
          <w:tab w:val="right" w:pos="9360"/>
        </w:tabs>
        <w:spacing w:line="276" w:lineRule="auto"/>
        <w:rPr>
          <w:rFonts w:ascii="GHEA Grapalat" w:hAnsi="GHEA Grapalat"/>
          <w:b/>
          <w:lang w:val="hy-AM"/>
        </w:rPr>
      </w:pPr>
    </w:p>
    <w:p w14:paraId="5834ABDC" w14:textId="77777777" w:rsidR="00A0377F" w:rsidRPr="005B6182" w:rsidRDefault="00A0377F" w:rsidP="005B6182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027F22B8" w14:textId="77777777" w:rsidR="00A0377F" w:rsidRPr="005B6182" w:rsidRDefault="00A0377F" w:rsidP="005B6182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79C2D83F" w14:textId="77B1FE8B" w:rsidR="000A6953" w:rsidRPr="005B6182" w:rsidRDefault="000A6953" w:rsidP="005B6182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5B6182">
        <w:rPr>
          <w:rFonts w:ascii="GHEA Grapalat" w:hAnsi="GHEA Grapalat"/>
          <w:b/>
          <w:lang w:val="hy-AM"/>
        </w:rPr>
        <w:t>Տեխնիկական բնութագիր/քանակ և գնառաջարկի ձևանմուշ</w:t>
      </w:r>
    </w:p>
    <w:p w14:paraId="42EED7EE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b/>
          <w:lang w:val="pt-BR" w:eastAsia="ru-RU"/>
        </w:rPr>
      </w:pPr>
    </w:p>
    <w:tbl>
      <w:tblPr>
        <w:tblW w:w="6226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2856"/>
        <w:gridCol w:w="997"/>
        <w:gridCol w:w="1594"/>
        <w:gridCol w:w="1397"/>
        <w:gridCol w:w="1397"/>
        <w:gridCol w:w="1994"/>
      </w:tblGrid>
      <w:tr w:rsidR="002C321D" w:rsidRPr="005B6182" w14:paraId="3E9C6567" w14:textId="460DF00F" w:rsidTr="002C321D">
        <w:trPr>
          <w:trHeight w:val="569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FDEA6CB" w14:textId="28B30CBD" w:rsidR="002C321D" w:rsidRPr="005B6182" w:rsidRDefault="002C321D" w:rsidP="005B618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5B6182">
              <w:rPr>
                <w:rFonts w:ascii="GHEA Grapalat" w:hAnsi="GHEA Grapalat"/>
                <w:sz w:val="20"/>
                <w:szCs w:val="20"/>
                <w:lang w:val="pt-BR" w:eastAsia="ru-RU"/>
              </w:rPr>
              <w:t>N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B191B5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5B6182">
              <w:rPr>
                <w:rFonts w:ascii="GHEA Grapalat" w:hAnsi="GHEA Grapalat"/>
                <w:sz w:val="20"/>
                <w:szCs w:val="20"/>
                <w:lang w:val="pt-BR" w:eastAsia="ru-RU"/>
              </w:rPr>
              <w:t>Անվանում և տեխնիկական նկարագիր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2FD665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5B6182">
              <w:rPr>
                <w:rFonts w:ascii="GHEA Grapalat" w:hAnsi="GHEA Grapalat"/>
                <w:sz w:val="20"/>
                <w:szCs w:val="20"/>
                <w:lang w:val="pt-BR" w:eastAsia="ru-RU"/>
              </w:rPr>
              <w:t>Քանակ /հատ/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440D474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5B6182">
              <w:rPr>
                <w:rFonts w:ascii="GHEA Grapalat" w:hAnsi="GHEA Grapalat"/>
                <w:sz w:val="20"/>
                <w:szCs w:val="20"/>
                <w:lang w:val="pt-BR" w:eastAsia="ru-RU"/>
              </w:rPr>
              <w:t>Միավորի արժեքը՝ ՀՀ դրամով, ներառյալ հարկերը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235855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5B6182">
              <w:rPr>
                <w:rFonts w:ascii="GHEA Grapalat" w:hAnsi="GHEA Grapalat"/>
                <w:sz w:val="20"/>
                <w:szCs w:val="20"/>
                <w:lang w:val="pt-BR" w:eastAsia="ru-RU"/>
              </w:rPr>
              <w:t>Ընդհանուր գին՝ ՀՀ դրամով,</w:t>
            </w:r>
            <w:r w:rsidRPr="005B6182">
              <w:rPr>
                <w:rFonts w:ascii="GHEA Grapalat" w:hAnsi="GHEA Grapalat"/>
                <w:sz w:val="20"/>
                <w:szCs w:val="20"/>
                <w:lang w:val="pt-BR" w:eastAsia="ru-RU"/>
              </w:rPr>
              <w:br/>
              <w:t>ներառյալ հարկերը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7FC7FDC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  <w:p w14:paraId="250087D4" w14:textId="5F79F866" w:rsidR="002C321D" w:rsidRPr="005B6182" w:rsidRDefault="002C321D" w:rsidP="005B618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5B6182">
              <w:rPr>
                <w:rFonts w:ascii="GHEA Grapalat" w:hAnsi="GHEA Grapalat"/>
                <w:sz w:val="20"/>
                <w:szCs w:val="20"/>
                <w:lang w:val="pt-BR" w:eastAsia="ru-RU"/>
              </w:rPr>
              <w:t>Առաքման ժամկետ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E63FC25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  <w:p w14:paraId="1E0360D0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</w:p>
          <w:p w14:paraId="1FBF4372" w14:textId="05BCBAA7" w:rsidR="002C321D" w:rsidRPr="005B6182" w:rsidRDefault="002C321D" w:rsidP="005B618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5B6182">
              <w:rPr>
                <w:rFonts w:ascii="GHEA Grapalat" w:hAnsi="GHEA Grapalat"/>
                <w:sz w:val="20"/>
                <w:szCs w:val="20"/>
                <w:lang w:val="pt-BR" w:eastAsia="ru-RU"/>
              </w:rPr>
              <w:t>Երաշխիք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ային ժամկետ</w:t>
            </w:r>
          </w:p>
        </w:tc>
      </w:tr>
      <w:tr w:rsidR="002C321D" w:rsidRPr="005B6182" w14:paraId="40227FBE" w14:textId="078B37A5" w:rsidTr="002C321D">
        <w:trPr>
          <w:trHeight w:val="34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F28B" w14:textId="0C8A0EBF" w:rsidR="002C321D" w:rsidRPr="005B6182" w:rsidRDefault="002C321D" w:rsidP="005B6182">
            <w:pPr>
              <w:spacing w:line="276" w:lineRule="auto"/>
              <w:ind w:left="-136" w:firstLine="136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proofErr w:type="spellStart"/>
            <w:r w:rsidRPr="005B6182">
              <w:rPr>
                <w:rFonts w:ascii="Montserrat arm" w:eastAsiaTheme="minorHAnsi" w:hAnsi="Montserrat arm" w:cstheme="minorBidi"/>
                <w:sz w:val="18"/>
              </w:rPr>
              <w:t>Լոտ</w:t>
            </w:r>
            <w:proofErr w:type="spellEnd"/>
            <w:r w:rsidRPr="005B6182">
              <w:rPr>
                <w:rFonts w:ascii="Montserrat arm" w:eastAsiaTheme="minorHAnsi" w:hAnsi="Montserrat arm" w:cstheme="minorBidi"/>
                <w:sz w:val="18"/>
              </w:rPr>
              <w:t xml:space="preserve"> 1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0B27" w14:textId="77777777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8"/>
                <w:lang w:val="en-US"/>
              </w:rPr>
              <w:t xml:space="preserve">2.5" Chassis with up to 16 </w:t>
            </w:r>
            <w:r w:rsidRPr="005B6182">
              <w:rPr>
                <w:rFonts w:ascii="Montserrat arm" w:hAnsi="Montserrat arm"/>
                <w:sz w:val="16"/>
                <w:lang w:val="en-US"/>
              </w:rPr>
              <w:t>Hard Drives (SAS/SATA), PERC11</w:t>
            </w:r>
          </w:p>
          <w:p w14:paraId="67BEC263" w14:textId="77777777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6"/>
                <w:lang w:val="en-US"/>
              </w:rPr>
              <w:t>Standard Fan x5</w:t>
            </w:r>
          </w:p>
          <w:p w14:paraId="1C344D79" w14:textId="77777777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6"/>
                <w:lang w:val="en-US"/>
              </w:rPr>
              <w:t>Intel Xeon Gold 6526Y 2.8G, 16C/32T</w:t>
            </w:r>
          </w:p>
          <w:p w14:paraId="1D8CD7F3" w14:textId="77777777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6"/>
                <w:lang w:val="en-US"/>
              </w:rPr>
              <w:t>4x16GB RDIMM, 5600MT/s, Dual Rank</w:t>
            </w:r>
          </w:p>
          <w:p w14:paraId="3F455992" w14:textId="77777777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6"/>
                <w:lang w:val="en-US"/>
              </w:rPr>
              <w:t>PERC H755 SAS Front</w:t>
            </w:r>
          </w:p>
          <w:p w14:paraId="628A1D23" w14:textId="77777777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6"/>
                <w:lang w:val="en-US"/>
              </w:rPr>
              <w:t>8x3.84TB SSD SATA Read Intensive 6Gbps 512e 2.5</w:t>
            </w:r>
          </w:p>
          <w:p w14:paraId="678CC584" w14:textId="77777777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6"/>
                <w:lang w:val="en-US"/>
              </w:rPr>
              <w:t>Dual, (1+1) Redundant, Hot-Plug Power Supply, 800W</w:t>
            </w:r>
          </w:p>
          <w:p w14:paraId="1E82582F" w14:textId="77777777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6"/>
                <w:lang w:val="en-US"/>
              </w:rPr>
              <w:t>C13 to C14, PDU Style, 10 AMP, 6.5 Feet (2m), Power Cord</w:t>
            </w:r>
          </w:p>
          <w:p w14:paraId="097DC6E3" w14:textId="77777777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6"/>
                <w:lang w:val="en-US"/>
              </w:rPr>
              <w:t>Broadcom 57414 Dual Port 10/25GbE SFP28</w:t>
            </w:r>
          </w:p>
          <w:p w14:paraId="3943B4B4" w14:textId="2733F176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6"/>
                <w:lang w:val="en-US"/>
              </w:rPr>
              <w:t>SFP+ SR Optic 10GbE 850nm</w:t>
            </w:r>
          </w:p>
          <w:p w14:paraId="757826BE" w14:textId="77777777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proofErr w:type="spellStart"/>
            <w:r w:rsidRPr="005B6182">
              <w:rPr>
                <w:rFonts w:ascii="Montserrat arm" w:hAnsi="Montserrat arm"/>
                <w:sz w:val="16"/>
                <w:lang w:val="en-US"/>
              </w:rPr>
              <w:t>ReadyRails</w:t>
            </w:r>
            <w:proofErr w:type="spellEnd"/>
            <w:r w:rsidRPr="005B6182">
              <w:rPr>
                <w:rFonts w:ascii="Montserrat arm" w:hAnsi="Montserrat arm"/>
                <w:sz w:val="16"/>
                <w:lang w:val="en-US"/>
              </w:rPr>
              <w:t xml:space="preserve"> Sliding Rails Arm (B21)</w:t>
            </w:r>
          </w:p>
          <w:p w14:paraId="1D73408F" w14:textId="77777777" w:rsidR="002C321D" w:rsidRPr="005B6182" w:rsidRDefault="002C321D" w:rsidP="005B6182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6"/>
                <w:lang w:val="en-US"/>
              </w:rPr>
              <w:t>No Operating System</w:t>
            </w:r>
          </w:p>
          <w:p w14:paraId="206774F9" w14:textId="0DA8CE46" w:rsidR="002C321D" w:rsidRPr="008A3C44" w:rsidRDefault="002C321D" w:rsidP="008A3C44">
            <w:pPr>
              <w:pStyle w:val="Simple"/>
              <w:numPr>
                <w:ilvl w:val="0"/>
                <w:numId w:val="6"/>
              </w:numPr>
              <w:spacing w:before="0" w:after="0" w:line="240" w:lineRule="auto"/>
              <w:ind w:left="102" w:hanging="90"/>
              <w:jc w:val="left"/>
              <w:rPr>
                <w:rFonts w:ascii="Montserrat arm" w:hAnsi="Montserrat arm"/>
                <w:sz w:val="16"/>
                <w:lang w:val="en-US"/>
              </w:rPr>
            </w:pPr>
            <w:r w:rsidRPr="005B6182">
              <w:rPr>
                <w:rFonts w:ascii="Montserrat arm" w:hAnsi="Montserrat arm"/>
                <w:sz w:val="16"/>
                <w:lang w:val="en-US"/>
              </w:rPr>
              <w:t>No Media Required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29F5" w14:textId="5C258D09" w:rsidR="002C321D" w:rsidRPr="005B6182" w:rsidRDefault="002C321D" w:rsidP="005B618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5B6182">
              <w:rPr>
                <w:rFonts w:ascii="Montserrat arm" w:eastAsiaTheme="minorHAnsi" w:hAnsi="Montserrat arm" w:cstheme="minorBidi"/>
                <w:sz w:val="18"/>
              </w:rPr>
              <w:t>2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6A01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8592" w14:textId="16563AF6" w:rsidR="002C321D" w:rsidRPr="005B6182" w:rsidRDefault="002C321D" w:rsidP="005B618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30BE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7682" w14:textId="68D85C48" w:rsidR="002C321D" w:rsidRPr="005B6182" w:rsidRDefault="002C321D" w:rsidP="005B6182">
            <w:pPr>
              <w:pStyle w:val="Simple"/>
              <w:spacing w:before="0" w:after="0" w:line="240" w:lineRule="auto"/>
              <w:jc w:val="center"/>
              <w:rPr>
                <w:rFonts w:ascii="Montserrat arm" w:hAnsi="Montserrat arm"/>
                <w:sz w:val="18"/>
              </w:rPr>
            </w:pPr>
          </w:p>
        </w:tc>
      </w:tr>
      <w:tr w:rsidR="002C321D" w:rsidRPr="005B6182" w14:paraId="56D782E0" w14:textId="77777777" w:rsidTr="002C321D">
        <w:trPr>
          <w:trHeight w:val="34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335D" w14:textId="1462438F" w:rsidR="002C321D" w:rsidRPr="005B6182" w:rsidRDefault="002C321D" w:rsidP="005B6182">
            <w:pPr>
              <w:spacing w:line="276" w:lineRule="auto"/>
              <w:ind w:left="-136" w:firstLine="136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proofErr w:type="spellStart"/>
            <w:r w:rsidRPr="005B6182">
              <w:rPr>
                <w:rFonts w:ascii="Montserrat arm" w:eastAsiaTheme="minorHAnsi" w:hAnsi="Montserrat arm" w:cstheme="minorBidi"/>
                <w:sz w:val="18"/>
              </w:rPr>
              <w:t>Լոտ</w:t>
            </w:r>
            <w:proofErr w:type="spellEnd"/>
            <w:r w:rsidRPr="005B6182">
              <w:rPr>
                <w:rFonts w:ascii="Montserrat arm" w:eastAsiaTheme="minorHAnsi" w:hAnsi="Montserrat arm" w:cstheme="minorBidi"/>
                <w:sz w:val="18"/>
              </w:rPr>
              <w:t xml:space="preserve"> 2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4D55" w14:textId="77777777" w:rsidR="002C321D" w:rsidRPr="008A3C44" w:rsidRDefault="002C321D" w:rsidP="005B6182">
            <w:pPr>
              <w:pStyle w:val="ListParagraph"/>
              <w:widowControl/>
              <w:numPr>
                <w:ilvl w:val="0"/>
                <w:numId w:val="8"/>
              </w:numPr>
              <w:ind w:left="256" w:hanging="180"/>
              <w:contextualSpacing/>
              <w:rPr>
                <w:rFonts w:ascii="Montserrat arm" w:hAnsi="Montserrat arm"/>
                <w:sz w:val="20"/>
              </w:rPr>
            </w:pPr>
            <w:r w:rsidRPr="008A3C44">
              <w:rPr>
                <w:rFonts w:ascii="Montserrat arm" w:hAnsi="Montserrat arm"/>
                <w:sz w:val="20"/>
              </w:rPr>
              <w:t>CPU: Intel Xeon Gold 6548Y+ 2.5G</w:t>
            </w:r>
          </w:p>
          <w:p w14:paraId="7909B481" w14:textId="77777777" w:rsidR="002C321D" w:rsidRPr="008A3C44" w:rsidRDefault="002C321D" w:rsidP="005B6182">
            <w:pPr>
              <w:pStyle w:val="ListParagraph"/>
              <w:widowControl/>
              <w:numPr>
                <w:ilvl w:val="0"/>
                <w:numId w:val="8"/>
              </w:numPr>
              <w:ind w:left="256" w:hanging="180"/>
              <w:contextualSpacing/>
              <w:rPr>
                <w:rFonts w:ascii="Montserrat arm" w:hAnsi="Montserrat arm"/>
                <w:sz w:val="20"/>
              </w:rPr>
            </w:pPr>
            <w:proofErr w:type="gramStart"/>
            <w:r w:rsidRPr="008A3C44">
              <w:rPr>
                <w:rFonts w:ascii="Montserrat arm" w:hAnsi="Montserrat arm"/>
                <w:sz w:val="20"/>
              </w:rPr>
              <w:t>RAM :</w:t>
            </w:r>
            <w:proofErr w:type="gramEnd"/>
            <w:r w:rsidRPr="008A3C44">
              <w:rPr>
                <w:rFonts w:ascii="Montserrat arm" w:hAnsi="Montserrat arm"/>
                <w:sz w:val="20"/>
              </w:rPr>
              <w:t xml:space="preserve">  4x16 or 2x32 DDR5</w:t>
            </w:r>
          </w:p>
          <w:p w14:paraId="045EB805" w14:textId="77777777" w:rsidR="002C321D" w:rsidRPr="008A3C44" w:rsidRDefault="002C321D" w:rsidP="005B6182">
            <w:pPr>
              <w:pStyle w:val="ListParagraph"/>
              <w:widowControl/>
              <w:numPr>
                <w:ilvl w:val="0"/>
                <w:numId w:val="8"/>
              </w:numPr>
              <w:ind w:left="256" w:hanging="180"/>
              <w:contextualSpacing/>
              <w:rPr>
                <w:rFonts w:ascii="Montserrat arm" w:hAnsi="Montserrat arm"/>
                <w:sz w:val="20"/>
              </w:rPr>
            </w:pPr>
            <w:r w:rsidRPr="008A3C44">
              <w:rPr>
                <w:rFonts w:ascii="Montserrat arm" w:hAnsi="Montserrat arm"/>
                <w:sz w:val="20"/>
              </w:rPr>
              <w:t xml:space="preserve">Storage / </w:t>
            </w:r>
            <w:proofErr w:type="gramStart"/>
            <w:r w:rsidRPr="008A3C44">
              <w:rPr>
                <w:rFonts w:ascii="Montserrat arm" w:hAnsi="Montserrat arm"/>
                <w:sz w:val="20"/>
              </w:rPr>
              <w:t>Disk :</w:t>
            </w:r>
            <w:proofErr w:type="gramEnd"/>
            <w:r w:rsidRPr="008A3C44">
              <w:rPr>
                <w:rFonts w:ascii="Montserrat arm" w:hAnsi="Montserrat arm"/>
                <w:sz w:val="20"/>
              </w:rPr>
              <w:t xml:space="preserve"> 8x1.92 SSD</w:t>
            </w:r>
            <w:r w:rsidRPr="008A3C44">
              <w:rPr>
                <w:rFonts w:ascii="Montserrat arm" w:hAnsi="Montserrat arm"/>
                <w:sz w:val="20"/>
                <w:lang w:val="hy-AM"/>
              </w:rPr>
              <w:t xml:space="preserve"> </w:t>
            </w:r>
            <w:r w:rsidRPr="008A3C44">
              <w:rPr>
                <w:rFonts w:ascii="Montserrat arm" w:hAnsi="Montserrat arm"/>
                <w:sz w:val="20"/>
              </w:rPr>
              <w:t>hot swap</w:t>
            </w:r>
          </w:p>
          <w:p w14:paraId="40C654BC" w14:textId="77777777" w:rsidR="002C321D" w:rsidRPr="008A3C44" w:rsidRDefault="002C321D" w:rsidP="005B6182">
            <w:pPr>
              <w:pStyle w:val="ListParagraph"/>
              <w:widowControl/>
              <w:numPr>
                <w:ilvl w:val="0"/>
                <w:numId w:val="8"/>
              </w:numPr>
              <w:ind w:left="256" w:hanging="180"/>
              <w:contextualSpacing/>
              <w:rPr>
                <w:rFonts w:ascii="Montserrat arm" w:hAnsi="Montserrat arm"/>
                <w:sz w:val="20"/>
              </w:rPr>
            </w:pPr>
            <w:r w:rsidRPr="008A3C44">
              <w:rPr>
                <w:rFonts w:ascii="Montserrat arm" w:hAnsi="Montserrat arm"/>
                <w:sz w:val="20"/>
              </w:rPr>
              <w:t>Raid controller - RAID 5</w:t>
            </w:r>
          </w:p>
          <w:p w14:paraId="13AD7DA0" w14:textId="77777777" w:rsidR="002C321D" w:rsidRPr="008A3C44" w:rsidRDefault="002C321D" w:rsidP="005B6182">
            <w:pPr>
              <w:pStyle w:val="ListParagraph"/>
              <w:widowControl/>
              <w:numPr>
                <w:ilvl w:val="0"/>
                <w:numId w:val="8"/>
              </w:numPr>
              <w:ind w:left="256" w:hanging="180"/>
              <w:contextualSpacing/>
              <w:rPr>
                <w:rFonts w:ascii="Montserrat arm" w:hAnsi="Montserrat arm"/>
                <w:sz w:val="20"/>
              </w:rPr>
            </w:pPr>
            <w:r w:rsidRPr="008A3C44">
              <w:rPr>
                <w:rFonts w:ascii="Montserrat arm" w:hAnsi="Montserrat arm"/>
                <w:sz w:val="20"/>
              </w:rPr>
              <w:t>2xSFP+ 10Gbps</w:t>
            </w:r>
          </w:p>
          <w:p w14:paraId="01B927FD" w14:textId="77777777" w:rsidR="002C321D" w:rsidRPr="008A3C44" w:rsidRDefault="002C321D" w:rsidP="005B6182">
            <w:pPr>
              <w:pStyle w:val="ListParagraph"/>
              <w:widowControl/>
              <w:numPr>
                <w:ilvl w:val="0"/>
                <w:numId w:val="8"/>
              </w:numPr>
              <w:ind w:left="256" w:hanging="180"/>
              <w:contextualSpacing/>
              <w:rPr>
                <w:rFonts w:ascii="Montserrat arm" w:hAnsi="Montserrat arm"/>
                <w:sz w:val="20"/>
              </w:rPr>
            </w:pPr>
            <w:r w:rsidRPr="008A3C44">
              <w:rPr>
                <w:rFonts w:ascii="Montserrat arm" w:hAnsi="Montserrat arm"/>
                <w:sz w:val="20"/>
              </w:rPr>
              <w:t xml:space="preserve">1GbE LOM/iDRAC9 </w:t>
            </w:r>
          </w:p>
          <w:p w14:paraId="373FC59D" w14:textId="77777777" w:rsidR="002C321D" w:rsidRPr="008A3C44" w:rsidRDefault="002C321D" w:rsidP="005B6182">
            <w:pPr>
              <w:pStyle w:val="ListParagraph"/>
              <w:widowControl/>
              <w:numPr>
                <w:ilvl w:val="0"/>
                <w:numId w:val="8"/>
              </w:numPr>
              <w:ind w:left="256" w:hanging="180"/>
              <w:contextualSpacing/>
              <w:rPr>
                <w:rFonts w:ascii="Montserrat arm" w:hAnsi="Montserrat arm"/>
                <w:sz w:val="20"/>
              </w:rPr>
            </w:pPr>
            <w:r w:rsidRPr="008A3C44">
              <w:rPr>
                <w:rFonts w:ascii="Montserrat arm" w:hAnsi="Montserrat arm"/>
                <w:sz w:val="20"/>
              </w:rPr>
              <w:t>Power Supply Redundant (1+1)</w:t>
            </w:r>
          </w:p>
          <w:p w14:paraId="2A3030DB" w14:textId="5EA28F63" w:rsidR="002C321D" w:rsidRPr="008A3C44" w:rsidRDefault="002C321D" w:rsidP="008A3C44">
            <w:pPr>
              <w:pStyle w:val="ListParagraph"/>
              <w:widowControl/>
              <w:numPr>
                <w:ilvl w:val="0"/>
                <w:numId w:val="8"/>
              </w:numPr>
              <w:ind w:left="256" w:hanging="180"/>
              <w:contextualSpacing/>
              <w:rPr>
                <w:rFonts w:ascii="Sylfaen" w:hAnsi="Sylfaen"/>
                <w:sz w:val="20"/>
              </w:rPr>
            </w:pPr>
            <w:r w:rsidRPr="008A3C44">
              <w:rPr>
                <w:rFonts w:ascii="Montserrat arm" w:hAnsi="Montserrat arm"/>
                <w:sz w:val="20"/>
              </w:rPr>
              <w:t>Enterprise 16G/</w:t>
            </w:r>
            <w:proofErr w:type="spellStart"/>
            <w:r w:rsidRPr="008A3C44">
              <w:rPr>
                <w:rFonts w:ascii="Montserrat arm" w:hAnsi="Montserrat arm"/>
                <w:sz w:val="20"/>
              </w:rPr>
              <w:t>ReadyRails</w:t>
            </w:r>
            <w:proofErr w:type="spellEnd"/>
            <w:r w:rsidRPr="008A3C44">
              <w:rPr>
                <w:rFonts w:ascii="Montserrat arm" w:hAnsi="Montserrat arm"/>
                <w:sz w:val="20"/>
              </w:rPr>
              <w:t xml:space="preserve"> Sliding Rails Without Cable Management Arm/3Yr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12A2" w14:textId="736AA33A" w:rsidR="002C321D" w:rsidRPr="005B6182" w:rsidRDefault="002C321D" w:rsidP="005B618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5B6182">
              <w:rPr>
                <w:rFonts w:ascii="Montserrat arm" w:eastAsiaTheme="minorHAnsi" w:hAnsi="Montserrat arm" w:cstheme="minorBidi"/>
                <w:sz w:val="18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98DC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F8C0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CCDE" w14:textId="77777777" w:rsidR="002C321D" w:rsidRPr="005B6182" w:rsidRDefault="002C321D" w:rsidP="005B6182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A689" w14:textId="77777777" w:rsidR="002C321D" w:rsidRPr="005B6182" w:rsidRDefault="002C321D" w:rsidP="005B6182">
            <w:pPr>
              <w:pStyle w:val="Simple"/>
              <w:spacing w:before="0" w:after="0" w:line="240" w:lineRule="auto"/>
              <w:jc w:val="center"/>
              <w:rPr>
                <w:rFonts w:ascii="Montserrat arm" w:hAnsi="Montserrat arm"/>
                <w:sz w:val="18"/>
                <w:lang w:val="en-US"/>
              </w:rPr>
            </w:pPr>
          </w:p>
        </w:tc>
      </w:tr>
    </w:tbl>
    <w:p w14:paraId="068B62C2" w14:textId="7F7D6187" w:rsidR="000A6953" w:rsidRPr="005B6182" w:rsidRDefault="000A6953" w:rsidP="005B6182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40BC0E94" w14:textId="77777777" w:rsidR="008D1E72" w:rsidRPr="005B6182" w:rsidRDefault="008D1E72" w:rsidP="005B6182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4CEBE516" w14:textId="77777777" w:rsidR="005B6182" w:rsidRDefault="005B6182" w:rsidP="005B6182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2C5871F0" w14:textId="13C63C85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5B6182">
        <w:rPr>
          <w:rFonts w:ascii="GHEA Grapalat" w:hAnsi="GHEA Grapalat"/>
          <w:b/>
          <w:lang w:val="hy-AM"/>
        </w:rPr>
        <w:t>Ծանոթություն</w:t>
      </w:r>
      <w:r w:rsidRPr="005B6182">
        <w:rPr>
          <w:rFonts w:ascii="Cambria Math" w:hAnsi="Cambria Math" w:cs="Cambria Math"/>
          <w:b/>
          <w:lang w:val="hy-AM"/>
        </w:rPr>
        <w:t>․</w:t>
      </w:r>
    </w:p>
    <w:p w14:paraId="5817C646" w14:textId="77777777" w:rsidR="000A6953" w:rsidRPr="005B6182" w:rsidRDefault="000A6953" w:rsidP="005B6182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5B6182">
        <w:rPr>
          <w:rFonts w:ascii="GHEA Grapalat" w:hAnsi="GHEA Grapalat"/>
          <w:lang w:val="hy-AM"/>
        </w:rPr>
        <w:t>Գնառաջարկը պետք է ներկայացվի ՀՀ դրամով: Արտարժույթով Գնման դեպքում, Գնառաջարկի ներկայացման օրվանից</w:t>
      </w:r>
      <w:r w:rsidRPr="005B6182">
        <w:rPr>
          <w:rFonts w:cs="Calibri"/>
          <w:lang w:val="hy-AM"/>
        </w:rPr>
        <w:t> </w:t>
      </w:r>
      <w:r w:rsidRPr="005B6182">
        <w:rPr>
          <w:rFonts w:ascii="GHEA Grapalat" w:hAnsi="GHEA Grapalat"/>
          <w:lang w:val="hy-AM"/>
        </w:rPr>
        <w:t xml:space="preserve">մինչ պայմանագրի կնքման և /կամ վճարման օրը ԱՄՆ դոլարի պաշտոնական փոխարժեքի </w:t>
      </w:r>
      <w:hyperlink r:id="rId11" w:history="1">
        <w:r w:rsidRPr="005B6182">
          <w:rPr>
            <w:rStyle w:val="Hyperlink"/>
            <w:rFonts w:ascii="GHEA Grapalat" w:hAnsi="GHEA Grapalat"/>
            <w:color w:val="002369"/>
            <w:lang w:val="hy-AM"/>
          </w:rPr>
          <w:t>https://www.cba.am/AM/SitePages/ExchangeArchive.aspx</w:t>
        </w:r>
      </w:hyperlink>
      <w:r w:rsidRPr="005B6182">
        <w:rPr>
          <w:rFonts w:ascii="GHEA Grapalat" w:hAnsi="GHEA Grapalat"/>
          <w:lang w:val="hy-AM"/>
        </w:rPr>
        <w:t xml:space="preserve"> 3% և ավել</w:t>
      </w:r>
      <w:r w:rsidRPr="005B6182">
        <w:rPr>
          <w:rFonts w:cs="Calibri"/>
          <w:lang w:val="hy-AM"/>
        </w:rPr>
        <w:t> </w:t>
      </w:r>
      <w:r w:rsidRPr="005B6182">
        <w:rPr>
          <w:rFonts w:ascii="GHEA Grapalat" w:hAnsi="GHEA Grapalat"/>
          <w:lang w:val="hy-AM"/>
        </w:rPr>
        <w:t>փոփոխություն լինելու դեպքում պայմանագրի գինը կվերահաշվարկի:</w:t>
      </w:r>
    </w:p>
    <w:p w14:paraId="231E4D37" w14:textId="77777777" w:rsidR="000A6953" w:rsidRPr="005B6182" w:rsidRDefault="000A6953" w:rsidP="005B6182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5B6182">
        <w:rPr>
          <w:rFonts w:ascii="GHEA Grapalat" w:hAnsi="GHEA Grapalat"/>
          <w:lang w:val="hy-AM"/>
        </w:rPr>
        <w:t>Գնառաջարկը պետք է ներառի ՀՀ տարածքում գործող բոլոր հարկերը, պարտադիր վճարումները և ծախսերը,</w:t>
      </w:r>
    </w:p>
    <w:p w14:paraId="5C84EC07" w14:textId="77777777" w:rsidR="000A6953" w:rsidRPr="005B6182" w:rsidRDefault="000A6953" w:rsidP="005B6182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5B6182">
        <w:rPr>
          <w:rFonts w:ascii="GHEA Grapalat" w:hAnsi="GHEA Grapalat"/>
          <w:lang w:val="hy-AM"/>
        </w:rPr>
        <w:t>Գնառաջարկը պետք է ուժի մեջ լինի առնվազն 30 աշխատանքային օր՝ հաշվարկված Հայտերի ներկայացման վերջնաժամկետից,</w:t>
      </w:r>
    </w:p>
    <w:p w14:paraId="725FB975" w14:textId="77777777" w:rsidR="000A6953" w:rsidRPr="005B6182" w:rsidRDefault="000A6953" w:rsidP="005B6182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5B6182">
        <w:rPr>
          <w:rFonts w:ascii="GHEA Grapalat" w:hAnsi="GHEA Grapalat"/>
          <w:lang w:val="hy-AM"/>
        </w:rPr>
        <w:t>Գնառաջարկի հետ անհրաժեշտ է ներկայացնել վճարման պայմանների վերաբերյալ տեղեկություն (կանխավճարի չափ, եթե պահանջվելու է),</w:t>
      </w:r>
    </w:p>
    <w:p w14:paraId="5D5AB371" w14:textId="77777777" w:rsidR="000A6953" w:rsidRPr="005B6182" w:rsidRDefault="000A6953" w:rsidP="005B6182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5B6182">
        <w:rPr>
          <w:rFonts w:ascii="GHEA Grapalat" w:hAnsi="GHEA Grapalat"/>
          <w:lang w:val="hy-AM"/>
        </w:rPr>
        <w:t xml:space="preserve">Հաղթող ճանաչված Մասնակցի կողմից կանխավճար պահանջելու դեպքում Բանկը կարող է պահանջել Բանկային երաշխիքի ներկայացում, </w:t>
      </w:r>
    </w:p>
    <w:p w14:paraId="7BA2CC4A" w14:textId="77777777" w:rsidR="000A6953" w:rsidRPr="005B6182" w:rsidRDefault="000A6953" w:rsidP="005B6182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5B6182">
        <w:rPr>
          <w:rFonts w:ascii="GHEA Grapalat" w:hAnsi="GHEA Grapalat"/>
          <w:lang w:val="hy-AM"/>
        </w:rPr>
        <w:t>Հնարավոր է Հաղթող ճանաչված Մասնակցին առաջարկվի պայմանագիրը կնքել այլ ծավալով ձեռքբերման համար՝ ելնելով աշխատանքային անհրաժեշտությունից,</w:t>
      </w:r>
    </w:p>
    <w:p w14:paraId="2F8435B5" w14:textId="77777777" w:rsidR="000A6953" w:rsidRPr="005B6182" w:rsidRDefault="000A6953" w:rsidP="005B6182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5B6182">
        <w:rPr>
          <w:rFonts w:ascii="GHEA Grapalat" w:hAnsi="GHEA Grapalat"/>
          <w:lang w:val="hy-AM"/>
        </w:rPr>
        <w:t>Տառերով և թվերով գրված տվյալների միջև անհամապատասխանության առկայության դեպքում Մրցութային հանձնաժողովի կողմից հիմք է ընդունվում տառերով գրվածը:</w:t>
      </w:r>
    </w:p>
    <w:p w14:paraId="7E0D4049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5D68210F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b/>
          <w:i/>
          <w:u w:val="single"/>
          <w:lang w:val="hy-AM"/>
        </w:rPr>
      </w:pPr>
      <w:r w:rsidRPr="005B6182">
        <w:rPr>
          <w:rFonts w:ascii="GHEA Grapalat" w:hAnsi="GHEA Grapalat"/>
          <w:b/>
          <w:lang w:val="hy-AM"/>
        </w:rPr>
        <w:t xml:space="preserve">Որպես Մրցույթի </w:t>
      </w:r>
      <w:r w:rsidRPr="005B6182">
        <w:rPr>
          <w:rFonts w:ascii="GHEA Grapalat" w:hAnsi="GHEA Grapalat"/>
          <w:b/>
        </w:rPr>
        <w:t>մ</w:t>
      </w:r>
      <w:r w:rsidRPr="005B6182">
        <w:rPr>
          <w:rFonts w:ascii="GHEA Grapalat" w:hAnsi="GHEA Grapalat"/>
          <w:b/>
          <w:lang w:val="hy-AM"/>
        </w:rPr>
        <w:t>ասնակից</w:t>
      </w:r>
      <w:r w:rsidRPr="005B6182">
        <w:rPr>
          <w:rFonts w:ascii="Cambria Math" w:hAnsi="Cambria Math" w:cs="Cambria Math"/>
          <w:b/>
          <w:lang w:val="hy-AM"/>
        </w:rPr>
        <w:t>․</w:t>
      </w:r>
    </w:p>
    <w:p w14:paraId="7EC9360E" w14:textId="77777777" w:rsidR="000A6953" w:rsidRPr="005B6182" w:rsidRDefault="000A6953" w:rsidP="005B6182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5B6182">
        <w:rPr>
          <w:rFonts w:ascii="GHEA Grapalat" w:hAnsi="GHEA Grapalat" w:cs="Arial"/>
          <w:lang w:val="hy-AM"/>
        </w:rPr>
        <w:t>Ընդունում</w:t>
      </w:r>
      <w:r w:rsidRPr="005B6182">
        <w:rPr>
          <w:rFonts w:ascii="GHEA Grapalat" w:hAnsi="GHEA Grapalat" w:cs="Sylfaen"/>
          <w:lang w:val="hy-AM"/>
        </w:rPr>
        <w:t xml:space="preserve"> </w:t>
      </w:r>
      <w:r w:rsidRPr="005B6182">
        <w:rPr>
          <w:rFonts w:ascii="GHEA Grapalat" w:hAnsi="GHEA Grapalat" w:cs="Arial"/>
          <w:lang w:val="hy-AM"/>
        </w:rPr>
        <w:t>եմ</w:t>
      </w:r>
      <w:r w:rsidRPr="005B6182">
        <w:rPr>
          <w:rFonts w:ascii="GHEA Grapalat" w:hAnsi="GHEA Grapalat" w:cs="Sylfaen"/>
          <w:lang w:val="hy-AM"/>
        </w:rPr>
        <w:t xml:space="preserve"> </w:t>
      </w:r>
      <w:r w:rsidRPr="005B6182">
        <w:rPr>
          <w:rFonts w:ascii="GHEA Grapalat" w:hAnsi="GHEA Grapalat" w:cs="Arial"/>
          <w:lang w:val="hy-AM"/>
        </w:rPr>
        <w:t>Բանկի</w:t>
      </w:r>
      <w:r w:rsidRPr="005B6182">
        <w:rPr>
          <w:rFonts w:ascii="GHEA Grapalat" w:hAnsi="GHEA Grapalat" w:cs="Sylfaen"/>
          <w:lang w:val="hy-AM"/>
        </w:rPr>
        <w:t xml:space="preserve"> </w:t>
      </w:r>
      <w:r w:rsidRPr="005B6182">
        <w:rPr>
          <w:rFonts w:ascii="GHEA Grapalat" w:hAnsi="GHEA Grapalat" w:cs="Arial"/>
          <w:lang w:val="hy-AM"/>
        </w:rPr>
        <w:t>կողմից</w:t>
      </w:r>
      <w:r w:rsidRPr="005B6182">
        <w:rPr>
          <w:rFonts w:ascii="GHEA Grapalat" w:hAnsi="GHEA Grapalat" w:cs="Sylfaen"/>
          <w:lang w:val="hy-AM"/>
        </w:rPr>
        <w:t xml:space="preserve"> </w:t>
      </w:r>
      <w:r w:rsidRPr="005B6182">
        <w:rPr>
          <w:rFonts w:ascii="GHEA Grapalat" w:hAnsi="GHEA Grapalat" w:cs="Arial"/>
          <w:lang w:val="hy-AM"/>
        </w:rPr>
        <w:t>Հայտարարված</w:t>
      </w:r>
      <w:r w:rsidRPr="005B6182">
        <w:rPr>
          <w:rFonts w:ascii="GHEA Grapalat" w:hAnsi="GHEA Grapalat" w:cs="Sylfaen"/>
          <w:lang w:val="hy-AM"/>
        </w:rPr>
        <w:t xml:space="preserve"> </w:t>
      </w:r>
      <w:r w:rsidRPr="005B6182">
        <w:rPr>
          <w:rFonts w:ascii="GHEA Grapalat" w:hAnsi="GHEA Grapalat" w:cs="Arial"/>
          <w:lang w:val="hy-AM"/>
        </w:rPr>
        <w:t>պայմաններն</w:t>
      </w:r>
      <w:r w:rsidRPr="005B6182">
        <w:rPr>
          <w:rFonts w:ascii="GHEA Grapalat" w:hAnsi="GHEA Grapalat" w:cs="Sylfaen"/>
          <w:lang w:val="hy-AM"/>
        </w:rPr>
        <w:t xml:space="preserve"> </w:t>
      </w:r>
      <w:r w:rsidRPr="005B6182">
        <w:rPr>
          <w:rFonts w:ascii="GHEA Grapalat" w:hAnsi="GHEA Grapalat" w:cs="Arial"/>
          <w:lang w:val="hy-AM"/>
        </w:rPr>
        <w:t>ու</w:t>
      </w:r>
      <w:r w:rsidRPr="005B6182">
        <w:rPr>
          <w:rFonts w:ascii="GHEA Grapalat" w:hAnsi="GHEA Grapalat" w:cs="Sylfaen"/>
          <w:lang w:val="hy-AM"/>
        </w:rPr>
        <w:t xml:space="preserve"> </w:t>
      </w:r>
      <w:r w:rsidRPr="005B6182">
        <w:rPr>
          <w:rFonts w:ascii="GHEA Grapalat" w:hAnsi="GHEA Grapalat" w:cs="Arial"/>
          <w:lang w:val="hy-AM"/>
        </w:rPr>
        <w:t xml:space="preserve">պահանջները, </w:t>
      </w:r>
    </w:p>
    <w:p w14:paraId="082BAFB9" w14:textId="77777777" w:rsidR="000A6953" w:rsidRPr="005B6182" w:rsidRDefault="000A6953" w:rsidP="005B6182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5B6182">
        <w:rPr>
          <w:rFonts w:ascii="GHEA Grapalat" w:hAnsi="GHEA Grapalat" w:cs="Arial"/>
          <w:lang w:val="hy-AM"/>
        </w:rPr>
        <w:t>Գիտակցում եմ, որ լրացված Հայտը Բանկի պահանջներին համապատասխան չլինելու դեպքում, գնառաջարկը չի դիտարկվի Բանկի կողմից:</w:t>
      </w:r>
    </w:p>
    <w:p w14:paraId="0F0110C5" w14:textId="77777777" w:rsidR="000A6953" w:rsidRPr="005B6182" w:rsidRDefault="000A6953" w:rsidP="005B6182">
      <w:pPr>
        <w:pStyle w:val="ListParagraph"/>
        <w:widowControl/>
        <w:spacing w:line="276" w:lineRule="auto"/>
        <w:ind w:left="720"/>
        <w:contextualSpacing/>
        <w:jc w:val="both"/>
        <w:rPr>
          <w:rFonts w:ascii="GHEA Grapalat" w:hAnsi="GHEA Grapalat"/>
          <w:b/>
          <w:lang w:val="hy-AM"/>
        </w:rPr>
      </w:pPr>
    </w:p>
    <w:p w14:paraId="36ED10C3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5B6182">
        <w:rPr>
          <w:rFonts w:ascii="GHEA Grapalat" w:hAnsi="GHEA Grapalat" w:cs="Arial"/>
          <w:b/>
          <w:lang w:val="hy-AM"/>
        </w:rPr>
        <w:t>Հայտարարում/հաստատում եմ, որ սույն Հայտում կատարված նշումները համարժեք են նույն առարկայի շուրջ տրված համաձայնությանը/կատարված Հայտարարությանը, իսկ «V» նշանը՝ իմ ստորագրությանը:</w:t>
      </w:r>
    </w:p>
    <w:p w14:paraId="3FA8CF59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4A276040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5B6182">
        <w:rPr>
          <w:rFonts w:ascii="GHEA Grapalat" w:hAnsi="GHEA Grapalat"/>
          <w:b/>
          <w:lang w:val="hy-AM"/>
        </w:rPr>
        <w:t>Կից ներկայացվող փաստաթղթերի ցանկ</w:t>
      </w:r>
    </w:p>
    <w:p w14:paraId="63A445B3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5B6182">
        <w:rPr>
          <w:rFonts w:ascii="GHEA Grapalat" w:hAnsi="GHEA Grapalat"/>
          <w:b/>
          <w:lang w:val="hy-AM"/>
        </w:rPr>
        <w:t>1</w:t>
      </w:r>
      <w:r w:rsidRPr="005B6182">
        <w:rPr>
          <w:rFonts w:ascii="Cambria Math" w:hAnsi="Cambria Math" w:cs="Cambria Math"/>
          <w:b/>
          <w:lang w:val="hy-AM"/>
        </w:rPr>
        <w:t>․</w:t>
      </w:r>
    </w:p>
    <w:p w14:paraId="3012C4B0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5B6182">
        <w:rPr>
          <w:rFonts w:ascii="GHEA Grapalat" w:hAnsi="GHEA Grapalat"/>
          <w:b/>
          <w:lang w:val="hy-AM"/>
        </w:rPr>
        <w:t>2</w:t>
      </w:r>
      <w:r w:rsidRPr="005B6182">
        <w:rPr>
          <w:rFonts w:ascii="Cambria Math" w:hAnsi="Cambria Math" w:cs="Cambria Math"/>
          <w:b/>
          <w:lang w:val="hy-AM"/>
        </w:rPr>
        <w:t>․</w:t>
      </w:r>
    </w:p>
    <w:p w14:paraId="5B10538D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1C622A3B" w14:textId="77777777" w:rsidR="000A6953" w:rsidRPr="005B6182" w:rsidRDefault="000A6953" w:rsidP="005B6182">
      <w:pPr>
        <w:spacing w:line="276" w:lineRule="auto"/>
        <w:jc w:val="both"/>
        <w:rPr>
          <w:rFonts w:ascii="GHEA Grapalat" w:hAnsi="GHEA Grapalat"/>
          <w:lang w:val="hy-AM"/>
        </w:rPr>
      </w:pPr>
      <w:r w:rsidRPr="005B6182">
        <w:rPr>
          <w:rFonts w:ascii="GHEA Grapalat" w:hAnsi="GHEA Grapalat"/>
          <w:lang w:val="hy-AM"/>
        </w:rPr>
        <w:t>________________________________Մասնակցի/կազմակերպության անվանումը ____________________</w:t>
      </w:r>
      <w:r w:rsidRPr="005B6182">
        <w:rPr>
          <w:rFonts w:ascii="GHEA Grapalat" w:hAnsi="GHEA Grapalat"/>
        </w:rPr>
        <w:t>___________</w:t>
      </w:r>
      <w:r w:rsidRPr="005B6182">
        <w:rPr>
          <w:rFonts w:ascii="GHEA Grapalat" w:hAnsi="GHEA Grapalat"/>
          <w:lang w:val="hy-AM"/>
        </w:rPr>
        <w:t>_ Լիազորված անձի ազգանուն,անուն, պաշտոն, ստորագրություն</w:t>
      </w:r>
    </w:p>
    <w:p w14:paraId="7CFAE362" w14:textId="77777777" w:rsidR="000A6953" w:rsidRPr="0098117D" w:rsidRDefault="000A6953" w:rsidP="005B6182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5B6182">
        <w:rPr>
          <w:rFonts w:ascii="GHEA Grapalat" w:hAnsi="GHEA Grapalat"/>
          <w:lang w:val="hy-AM"/>
        </w:rPr>
        <w:t>" " 202-թ Կ.Տ.</w:t>
      </w:r>
    </w:p>
    <w:sectPr w:rsidR="000A6953" w:rsidRPr="00981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21B46" w14:textId="77777777" w:rsidR="00B54AA9" w:rsidRDefault="00B54AA9" w:rsidP="000A6953">
      <w:r>
        <w:separator/>
      </w:r>
    </w:p>
  </w:endnote>
  <w:endnote w:type="continuationSeparator" w:id="0">
    <w:p w14:paraId="3244B140" w14:textId="77777777" w:rsidR="00B54AA9" w:rsidRDefault="00B54AA9" w:rsidP="000A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arm">
    <w:panose1 w:val="000005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D89F6" w14:textId="77777777" w:rsidR="00B54AA9" w:rsidRDefault="00B54AA9" w:rsidP="000A6953">
      <w:bookmarkStart w:id="0" w:name="_Hlk221183713"/>
      <w:bookmarkEnd w:id="0"/>
      <w:r>
        <w:separator/>
      </w:r>
    </w:p>
  </w:footnote>
  <w:footnote w:type="continuationSeparator" w:id="0">
    <w:p w14:paraId="3A38B51E" w14:textId="77777777" w:rsidR="00B54AA9" w:rsidRDefault="00B54AA9" w:rsidP="000A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7522" w14:textId="1F309EC5" w:rsidR="000A6953" w:rsidRDefault="000A6953">
    <w:pPr>
      <w:pStyle w:val="Header"/>
    </w:pPr>
    <w:r w:rsidRPr="00C629C7">
      <w:rPr>
        <w:rFonts w:ascii="GHEA Grapalat" w:hAnsi="GHEA Grapalat"/>
        <w:caps/>
        <w:smallCaps/>
        <w:noProof/>
        <w:sz w:val="20"/>
        <w:szCs w:val="20"/>
      </w:rPr>
      <w:drawing>
        <wp:inline distT="0" distB="0" distL="0" distR="0" wp14:anchorId="2747BCDE" wp14:editId="06254733">
          <wp:extent cx="1190625" cy="46672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334"/>
    <w:multiLevelType w:val="multilevel"/>
    <w:tmpl w:val="B01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9E748A6"/>
    <w:multiLevelType w:val="multilevel"/>
    <w:tmpl w:val="B01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56B16A8"/>
    <w:multiLevelType w:val="hybridMultilevel"/>
    <w:tmpl w:val="A29CEC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40FC7"/>
    <w:multiLevelType w:val="hybridMultilevel"/>
    <w:tmpl w:val="D7E62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15A34"/>
    <w:multiLevelType w:val="hybridMultilevel"/>
    <w:tmpl w:val="F7287252"/>
    <w:lvl w:ilvl="0" w:tplc="4C62B73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029B8"/>
    <w:multiLevelType w:val="hybridMultilevel"/>
    <w:tmpl w:val="89A4D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077D1D"/>
    <w:multiLevelType w:val="hybridMultilevel"/>
    <w:tmpl w:val="1F52F6F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B07AF"/>
    <w:multiLevelType w:val="hybridMultilevel"/>
    <w:tmpl w:val="E1D41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3"/>
    <w:rsid w:val="000A6953"/>
    <w:rsid w:val="00176775"/>
    <w:rsid w:val="001D4517"/>
    <w:rsid w:val="00240E97"/>
    <w:rsid w:val="002520B8"/>
    <w:rsid w:val="002C321D"/>
    <w:rsid w:val="003F6491"/>
    <w:rsid w:val="00463405"/>
    <w:rsid w:val="004A3711"/>
    <w:rsid w:val="004E2FF1"/>
    <w:rsid w:val="005A4C1B"/>
    <w:rsid w:val="005B6182"/>
    <w:rsid w:val="00642518"/>
    <w:rsid w:val="006B0A44"/>
    <w:rsid w:val="006B4531"/>
    <w:rsid w:val="006C036B"/>
    <w:rsid w:val="007664BA"/>
    <w:rsid w:val="007A7ECF"/>
    <w:rsid w:val="007F1183"/>
    <w:rsid w:val="00853C3D"/>
    <w:rsid w:val="008A3C44"/>
    <w:rsid w:val="008D1E72"/>
    <w:rsid w:val="008F1AE6"/>
    <w:rsid w:val="008F5FB7"/>
    <w:rsid w:val="00A0377F"/>
    <w:rsid w:val="00B048DA"/>
    <w:rsid w:val="00B43013"/>
    <w:rsid w:val="00B54AA9"/>
    <w:rsid w:val="00B7708D"/>
    <w:rsid w:val="00BD1ADD"/>
    <w:rsid w:val="00BF56F4"/>
    <w:rsid w:val="00CE135E"/>
    <w:rsid w:val="00D04EF6"/>
    <w:rsid w:val="00D10F8F"/>
    <w:rsid w:val="00F4105A"/>
    <w:rsid w:val="00F472C6"/>
    <w:rsid w:val="00F85F5A"/>
    <w:rsid w:val="00F9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A356"/>
  <w15:chartTrackingRefBased/>
  <w15:docId w15:val="{9592ABE1-F459-43A0-849C-42CA731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A695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7A7ECF"/>
    <w:pPr>
      <w:keepNext/>
      <w:widowControl/>
      <w:outlineLvl w:val="3"/>
    </w:pPr>
    <w:rPr>
      <w:rFonts w:ascii="Times Armenian" w:eastAsia="Times New Roman" w:hAnsi="Times Armeni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uiPriority w:val="99"/>
    <w:unhideWhenUsed/>
    <w:rsid w:val="000A695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0A695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6953"/>
    <w:pPr>
      <w:ind w:left="471" w:hanging="361"/>
    </w:pPr>
    <w:rPr>
      <w:rFonts w:ascii="Sylfaen" w:eastAsia="Sylfaen" w:hAnsi="Sylfae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A6953"/>
    <w:rPr>
      <w:rFonts w:ascii="Sylfaen" w:eastAsia="Sylfaen" w:hAnsi="Sylfae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0A6953"/>
  </w:style>
  <w:style w:type="paragraph" w:styleId="BodyTextIndent">
    <w:name w:val="Body Text Indent"/>
    <w:basedOn w:val="Normal"/>
    <w:link w:val="BodyTextIndentChar"/>
    <w:rsid w:val="000A6953"/>
    <w:pPr>
      <w:widowControl/>
      <w:jc w:val="both"/>
    </w:pPr>
    <w:rPr>
      <w:rFonts w:ascii="Arial Armenian" w:eastAsia="Times New Roman" w:hAnsi="Arial Armeni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A6953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0A6953"/>
    <w:rPr>
      <w:color w:val="0000FF"/>
      <w:u w:val="single"/>
    </w:rPr>
  </w:style>
  <w:style w:type="table" w:styleId="TableGrid">
    <w:name w:val="Table Grid"/>
    <w:basedOn w:val="TableNormal"/>
    <w:uiPriority w:val="39"/>
    <w:rsid w:val="000A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953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A6953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9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95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0A69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A6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953"/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7A7ECF"/>
    <w:rPr>
      <w:rFonts w:ascii="Times Armenian" w:eastAsia="Times New Roman" w:hAnsi="Times Armenian" w:cs="Times New Roman"/>
      <w:i/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D1E72"/>
    <w:pPr>
      <w:widowControl/>
      <w:spacing w:before="100" w:beforeAutospacing="1" w:after="100" w:afterAutospacing="1"/>
    </w:pPr>
    <w:rPr>
      <w:rFonts w:eastAsiaTheme="minorHAnsi" w:cs="Calibri"/>
    </w:rPr>
  </w:style>
  <w:style w:type="paragraph" w:customStyle="1" w:styleId="Simple">
    <w:name w:val="Simple"/>
    <w:basedOn w:val="Normal"/>
    <w:link w:val="SimpleChar"/>
    <w:qFormat/>
    <w:rsid w:val="008D1E72"/>
    <w:pPr>
      <w:widowControl/>
      <w:spacing w:before="120" w:after="120" w:line="276" w:lineRule="auto"/>
      <w:jc w:val="both"/>
    </w:pPr>
    <w:rPr>
      <w:rFonts w:ascii="GHEA Grapalat" w:eastAsiaTheme="minorHAnsi" w:hAnsi="GHEA Grapalat" w:cstheme="minorBidi"/>
      <w:lang w:val="hy-AM"/>
    </w:rPr>
  </w:style>
  <w:style w:type="character" w:customStyle="1" w:styleId="SimpleChar">
    <w:name w:val="Simple Char"/>
    <w:basedOn w:val="DefaultParagraphFont"/>
    <w:link w:val="Simple"/>
    <w:rsid w:val="008D1E72"/>
    <w:rPr>
      <w:rFonts w:ascii="GHEA Grapalat" w:hAnsi="GHEA Grapalat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0B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versebank@conversebank.a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versebank@conversebank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ba.am/AM/SitePages/ExchangeArchive.aspx%20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onversebank@conversebank.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Gasparyan</dc:creator>
  <cp:keywords/>
  <dc:description/>
  <cp:lastModifiedBy>Armine Eksarjyan</cp:lastModifiedBy>
  <cp:revision>5</cp:revision>
  <dcterms:created xsi:type="dcterms:W3CDTF">2026-03-19T11:15:00Z</dcterms:created>
  <dcterms:modified xsi:type="dcterms:W3CDTF">2026-03-20T05:58:00Z</dcterms:modified>
</cp:coreProperties>
</file>